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03/15/2001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9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Allegheny Energy Supply Company, LLC</w:t>
            </w:r>
            <w:r>
              <w:rPr>
                <w:b/>
                <w:bCs/>
                <w:sz w:val="22"/>
                <w:szCs w:val="22"/>
              </w:rPr>
              <w:t>, a limited liability company organized under the law of the State of Delaware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$50,000,000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liability company organized under the laws of the State of Delaware.</w:t>
      </w:r>
    </w:p>
    <w:p>
      <w:pPr>
        <w:pStyle w:val="Normal"/>
        <w:keepNext w:val="true"/>
        <w:spacing w:lineRule="exact" w:line="240" w:before="36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r>
        <w:rPr>
          <w:sz w:val="22"/>
        </w:rPr>
        <w:t xml:space="preserve">  United States Internal Revenue Service Form W</w:t>
        <w:noBreakHyphen/>
        <w:t>9 before the first Scheduled Payment Date under this Agreement</w:t>
      </w:r>
    </w:p>
    <w:p>
      <w:pPr>
        <w:pStyle w:val="Normal"/>
        <w:spacing w:lineRule="exact" w:line="240"/>
        <w:ind w:firstLine="720" w:end="0"/>
        <w:jc w:val="both"/>
        <w:rPr>
          <w:sz w:val="22"/>
          <w:szCs w:val="22"/>
        </w:rPr>
      </w:pPr>
      <w:r>
        <w:rPr>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9 </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this Part 3</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278" w:hRule="atLeast"/>
        </w:trPr>
        <w:tc>
          <w:tcPr>
            <w:tcW w:w="2178" w:type="dxa"/>
            <w:tcBorders/>
          </w:tcPr>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Justified"/>
              <w:widowControl/>
              <w:tabs>
                <w:tab w:val="clear" w:pos="720"/>
                <w:tab w:val="left" w:pos="3762" w:leader="none"/>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Allegheny Energy Supply Company, LLC</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Roseytown Road</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RR12, Box 1000</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Greensburg, PA 15601</w:t>
            </w:r>
          </w:p>
          <w:p>
            <w:pPr>
              <w:pStyle w:val="Normal"/>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sz w:val="22"/>
          <w:szCs w:val="22"/>
        </w:rPr>
      </w:pPr>
      <w:r>
        <w:rPr>
          <w:b/>
          <w:bCs/>
          <w:sz w:val="22"/>
          <w:szCs w:val="22"/>
        </w:rPr>
        <w:t>(h)</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autoSpaceDE w:val="false"/>
        <w:spacing w:lineRule="atLeast" w:line="240"/>
        <w:rPr>
          <w:b/>
          <w:bCs/>
          <w:sz w:val="22"/>
          <w:szCs w:val="22"/>
        </w:rPr>
      </w:pPr>
      <w:r>
        <w:rPr>
          <w:b/>
          <w:bCs/>
          <w:sz w:val="22"/>
          <w:szCs w:val="22"/>
        </w:rPr>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Header"/>
        <w:widowControl/>
        <w:jc w:val="both"/>
        <w:rPr>
          <w:sz w:val="22"/>
          <w:szCs w:val="22"/>
        </w:rPr>
      </w:pPr>
      <w:r>
        <w:rPr>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rFonts w:ascii="Times" w:hAnsi="Times" w:cs="Times"/>
                <w:b/>
                <w:caps/>
                <w:sz w:val="22"/>
                <w:szCs w:val="22"/>
              </w:rPr>
            </w:pPr>
            <w:r>
              <w:rPr>
                <w:rFonts w:cs="Times" w:ascii="Times" w:hAnsi="Times"/>
                <w:b/>
                <w:caps/>
                <w:sz w:val="22"/>
                <w:szCs w:val="22"/>
              </w:rPr>
              <w:t>Allegheny energy supply company, llc</w:t>
            </w:r>
          </w:p>
          <w:p>
            <w:pPr>
              <w:pStyle w:val="Normal"/>
              <w:keepNext w:val="true"/>
              <w:spacing w:lineRule="exact" w:line="240"/>
              <w:jc w:val="both"/>
              <w:rPr>
                <w:rFonts w:ascii="Times" w:hAnsi="Times" w:cs="Times"/>
                <w:b/>
                <w:caps/>
                <w:sz w:val="22"/>
                <w:szCs w:val="22"/>
              </w:rPr>
            </w:pPr>
            <w:r>
              <w:rPr>
                <w:rFonts w:cs="Times" w:ascii="Times" w:hAnsi="Times"/>
                <w:b/>
                <w:cap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Allegheny energy supply company, llc</w:t>
            </w:r>
            <w:r>
              <w:rPr>
                <w:b/>
                <w:bCs/>
                <w:sz w:val="22"/>
                <w:szCs w:val="22"/>
              </w:rPr>
              <w:t>, a limited liability company organized under the law of the State of Delaware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except that Paragraph 3(iv) shall be amended to read as follows:  “(i) the Pledgor’s Threshold </w:t>
      </w:r>
      <w:r>
        <w:rPr>
          <w:sz w:val="22"/>
          <w:szCs w:val="22"/>
          <w:u w:val="single"/>
        </w:rPr>
        <w:t>plus</w:t>
      </w:r>
      <w:r>
        <w:rPr>
          <w:sz w:val="22"/>
          <w:szCs w:val="22"/>
        </w:rPr>
        <w:t xml:space="preserve"> if the party having the greater Net Exposure is rated below BBB- or Baa3, $5,000,000”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keepNext w:val="true"/>
        <w:ind w:start="720" w:end="0"/>
        <w:jc w:val="both"/>
        <w:rPr/>
      </w:pPr>
      <w:r>
        <w:rPr>
          <w:sz w:val="22"/>
          <w:szCs w:val="22"/>
        </w:rPr>
        <w:t xml:space="preserve">(B)  </w:t>
      </w:r>
      <w:r>
        <w:rPr>
          <w:b/>
          <w:bCs/>
          <w:sz w:val="22"/>
          <w:szCs w:val="22"/>
        </w:rPr>
        <w:t>“Threshold”</w:t>
      </w:r>
      <w:r>
        <w:rPr>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p>
    <w:p>
      <w:pPr>
        <w:pStyle w:val="Normal"/>
        <w:keepNext w:val="true"/>
        <w:ind w:hanging="720" w:start="2160" w:end="0"/>
        <w:jc w:val="both"/>
        <w:rPr>
          <w:sz w:val="22"/>
          <w:szCs w:val="22"/>
        </w:rPr>
      </w:pPr>
      <w:r>
        <w:rPr>
          <w:sz w:val="22"/>
          <w:szCs w:val="22"/>
        </w:rPr>
      </w:r>
    </w:p>
    <w:tbl>
      <w:tblPr>
        <w:tblW w:w="8388" w:type="dxa"/>
        <w:jc w:val="start"/>
        <w:tblInd w:w="1188" w:type="dxa"/>
        <w:tblLayout w:type="fixed"/>
        <w:tblCellMar>
          <w:top w:w="0" w:type="dxa"/>
          <w:start w:w="108" w:type="dxa"/>
          <w:bottom w:w="0" w:type="dxa"/>
          <w:end w:w="108" w:type="dxa"/>
        </w:tblCellMar>
      </w:tblPr>
      <w:tblGrid>
        <w:gridCol w:w="2700"/>
        <w:gridCol w:w="1959"/>
        <w:gridCol w:w="1828"/>
        <w:gridCol w:w="1901"/>
      </w:tblGrid>
      <w:tr>
        <w:trPr/>
        <w:tc>
          <w:tcPr>
            <w:tcW w:w="2700" w:type="dxa"/>
            <w:tcBorders/>
          </w:tcPr>
          <w:p>
            <w:pPr>
              <w:pStyle w:val="Normal"/>
              <w:keepNext w:val="true"/>
              <w:rPr>
                <w:rFonts w:ascii="Times" w:hAnsi="Times" w:cs="Times"/>
                <w:caps/>
                <w:sz w:val="22"/>
                <w:szCs w:val="22"/>
                <w:u w:val="single"/>
              </w:rPr>
            </w:pPr>
            <w:r>
              <w:rPr>
                <w:rFonts w:cs="Times" w:ascii="Times" w:hAnsi="Times"/>
                <w:b/>
                <w:bCs/>
                <w:caps/>
                <w:sz w:val="22"/>
                <w:szCs w:val="22"/>
                <w:u w:val="single"/>
              </w:rPr>
              <w:t>Party A’s THRESHOLD</w:t>
            </w:r>
          </w:p>
        </w:tc>
        <w:tc>
          <w:tcPr>
            <w:tcW w:w="1959" w:type="dxa"/>
            <w:tcBorders/>
          </w:tcPr>
          <w:p>
            <w:pPr>
              <w:pStyle w:val="Normal"/>
              <w:keepNext w:val="true"/>
              <w:rPr>
                <w:rFonts w:ascii="Times" w:hAnsi="Times" w:cs="Times"/>
                <w:caps/>
                <w:sz w:val="22"/>
                <w:szCs w:val="22"/>
                <w:u w:val="single"/>
              </w:rPr>
            </w:pPr>
            <w:r>
              <w:rPr>
                <w:rFonts w:cs="Times" w:ascii="Times" w:hAnsi="Times"/>
                <w:b/>
                <w:bCs/>
                <w:caps/>
                <w:sz w:val="22"/>
                <w:szCs w:val="22"/>
                <w:u w:val="single"/>
              </w:rPr>
              <w:t>Party B’s THRESHOLD</w:t>
            </w:r>
          </w:p>
        </w:tc>
        <w:tc>
          <w:tcPr>
            <w:tcW w:w="1828" w:type="dxa"/>
            <w:tcBorders/>
          </w:tcPr>
          <w:p>
            <w:pPr>
              <w:pStyle w:val="BodyTextIndent2"/>
              <w:keepNext w:val="true"/>
              <w:ind w:hanging="0" w:end="0"/>
              <w:jc w:val="start"/>
              <w:rPr>
                <w:b/>
                <w:bCs/>
                <w:u w:val="single"/>
              </w:rPr>
            </w:pPr>
            <w:r>
              <w:rPr>
                <w:b/>
                <w:bCs/>
                <w:u w:val="single"/>
              </w:rPr>
              <w:t>S&amp;P CREDIT RATING</w:t>
            </w:r>
          </w:p>
          <w:p>
            <w:pPr>
              <w:pStyle w:val="Normal"/>
              <w:keepNext w:val="true"/>
              <w:ind w:start="-18" w:end="0"/>
              <w:rPr>
                <w:b/>
                <w:bCs/>
                <w:sz w:val="22"/>
                <w:szCs w:val="22"/>
                <w:u w:val="single"/>
              </w:rPr>
            </w:pPr>
            <w:r>
              <w:rPr>
                <w:b/>
                <w:bCs/>
                <w:sz w:val="22"/>
                <w:szCs w:val="22"/>
                <w:u w:val="single"/>
              </w:rPr>
            </w:r>
          </w:p>
        </w:tc>
        <w:tc>
          <w:tcPr>
            <w:tcW w:w="1901" w:type="dxa"/>
            <w:tcBorders/>
          </w:tcPr>
          <w:p>
            <w:pPr>
              <w:pStyle w:val="Normal"/>
              <w:keepNext w:val="true"/>
              <w:rPr>
                <w:b/>
                <w:bCs/>
                <w:sz w:val="22"/>
                <w:szCs w:val="22"/>
                <w:u w:val="single"/>
              </w:rPr>
            </w:pPr>
            <w:r>
              <w:rPr>
                <w:b/>
                <w:bCs/>
                <w:sz w:val="22"/>
                <w:szCs w:val="22"/>
                <w:u w:val="single"/>
              </w:rPr>
              <w:t>MOODY'S CREDIT RATING</w:t>
            </w:r>
          </w:p>
          <w:p>
            <w:pPr>
              <w:pStyle w:val="Normal"/>
              <w:keepNext w:val="true"/>
              <w:rPr>
                <w:b/>
                <w:bCs/>
                <w:sz w:val="22"/>
                <w:szCs w:val="22"/>
                <w:u w:val="single"/>
              </w:rPr>
            </w:pPr>
            <w:r>
              <w:rPr>
                <w:b/>
                <w:bCs/>
                <w:sz w:val="22"/>
                <w:szCs w:val="22"/>
                <w:u w:val="single"/>
              </w:rPr>
            </w:r>
          </w:p>
        </w:tc>
      </w:tr>
      <w:tr>
        <w:trPr/>
        <w:tc>
          <w:tcPr>
            <w:tcW w:w="2700" w:type="dxa"/>
            <w:tcBorders/>
          </w:tcPr>
          <w:p>
            <w:pPr>
              <w:pStyle w:val="Normal"/>
              <w:keepNext w:val="true"/>
              <w:rPr>
                <w:sz w:val="22"/>
                <w:szCs w:val="22"/>
              </w:rPr>
            </w:pPr>
            <w:r>
              <w:rPr>
                <w:sz w:val="22"/>
                <w:szCs w:val="22"/>
              </w:rPr>
              <w:t>U.S. $25,000,000</w:t>
            </w:r>
          </w:p>
        </w:tc>
        <w:tc>
          <w:tcPr>
            <w:tcW w:w="1959" w:type="dxa"/>
            <w:tcBorders/>
          </w:tcPr>
          <w:p>
            <w:pPr>
              <w:pStyle w:val="Normal"/>
              <w:keepNext w:val="true"/>
              <w:ind w:start="-18" w:end="0"/>
              <w:rPr>
                <w:sz w:val="22"/>
                <w:szCs w:val="22"/>
              </w:rPr>
            </w:pPr>
            <w:r>
              <w:rPr>
                <w:sz w:val="22"/>
                <w:szCs w:val="22"/>
              </w:rPr>
              <w:t>U.S. $15,000,000</w:t>
            </w:r>
          </w:p>
        </w:tc>
        <w:tc>
          <w:tcPr>
            <w:tcW w:w="1828" w:type="dxa"/>
            <w:tcBorders/>
          </w:tcPr>
          <w:p>
            <w:pPr>
              <w:pStyle w:val="Normal"/>
              <w:keepNext w:val="true"/>
              <w:ind w:start="-18" w:end="0"/>
              <w:rPr>
                <w:sz w:val="22"/>
                <w:szCs w:val="22"/>
              </w:rPr>
            </w:pPr>
            <w:r>
              <w:rPr>
                <w:sz w:val="22"/>
                <w:szCs w:val="22"/>
              </w:rPr>
              <w:t>BBB+ (or above)</w:t>
            </w:r>
          </w:p>
        </w:tc>
        <w:tc>
          <w:tcPr>
            <w:tcW w:w="1901" w:type="dxa"/>
            <w:tcBorders/>
          </w:tcPr>
          <w:p>
            <w:pPr>
              <w:pStyle w:val="Normal"/>
              <w:keepNext w:val="true"/>
              <w:rPr>
                <w:sz w:val="22"/>
                <w:szCs w:val="22"/>
              </w:rPr>
            </w:pPr>
            <w:r>
              <w:rPr>
                <w:sz w:val="22"/>
                <w:szCs w:val="22"/>
              </w:rPr>
              <w:t>Baa1 (or above)</w:t>
            </w:r>
          </w:p>
        </w:tc>
      </w:tr>
      <w:tr>
        <w:trPr/>
        <w:tc>
          <w:tcPr>
            <w:tcW w:w="2700" w:type="dxa"/>
            <w:tcBorders/>
          </w:tcPr>
          <w:p>
            <w:pPr>
              <w:pStyle w:val="Normal"/>
              <w:keepNext w:val="true"/>
              <w:rPr>
                <w:sz w:val="22"/>
                <w:szCs w:val="22"/>
              </w:rPr>
            </w:pPr>
            <w:r>
              <w:rPr>
                <w:sz w:val="22"/>
                <w:szCs w:val="22"/>
              </w:rPr>
              <w:t>U.S. $20,000,000</w:t>
            </w:r>
          </w:p>
        </w:tc>
        <w:tc>
          <w:tcPr>
            <w:tcW w:w="1959" w:type="dxa"/>
            <w:tcBorders/>
          </w:tcPr>
          <w:p>
            <w:pPr>
              <w:pStyle w:val="Normal"/>
              <w:keepNext w:val="true"/>
              <w:ind w:start="-18" w:end="0"/>
              <w:rPr>
                <w:sz w:val="22"/>
                <w:szCs w:val="22"/>
              </w:rPr>
            </w:pPr>
            <w:r>
              <w:rPr>
                <w:sz w:val="22"/>
                <w:szCs w:val="22"/>
              </w:rPr>
              <w:t>U.S. $10,000,000</w:t>
            </w:r>
          </w:p>
        </w:tc>
        <w:tc>
          <w:tcPr>
            <w:tcW w:w="1828" w:type="dxa"/>
            <w:tcBorders/>
          </w:tcPr>
          <w:p>
            <w:pPr>
              <w:pStyle w:val="Normal"/>
              <w:keepNext w:val="true"/>
              <w:ind w:start="-18" w:end="0"/>
              <w:rPr>
                <w:sz w:val="22"/>
                <w:szCs w:val="22"/>
              </w:rPr>
            </w:pPr>
            <w:r>
              <w:rPr>
                <w:sz w:val="22"/>
                <w:szCs w:val="22"/>
              </w:rPr>
              <w:t>BBB</w:t>
            </w:r>
          </w:p>
        </w:tc>
        <w:tc>
          <w:tcPr>
            <w:tcW w:w="1901" w:type="dxa"/>
            <w:tcBorders/>
          </w:tcPr>
          <w:p>
            <w:pPr>
              <w:pStyle w:val="Normal"/>
              <w:keepNext w:val="true"/>
              <w:rPr>
                <w:sz w:val="22"/>
                <w:szCs w:val="22"/>
              </w:rPr>
            </w:pPr>
            <w:r>
              <w:rPr>
                <w:sz w:val="22"/>
                <w:szCs w:val="22"/>
              </w:rPr>
              <w:t>Baa2</w:t>
            </w:r>
          </w:p>
        </w:tc>
      </w:tr>
      <w:tr>
        <w:trPr/>
        <w:tc>
          <w:tcPr>
            <w:tcW w:w="2700" w:type="dxa"/>
            <w:tcBorders/>
          </w:tcPr>
          <w:p>
            <w:pPr>
              <w:pStyle w:val="Normal"/>
              <w:keepNext w:val="true"/>
              <w:rPr>
                <w:sz w:val="22"/>
                <w:szCs w:val="22"/>
              </w:rPr>
            </w:pPr>
            <w:r>
              <w:rPr>
                <w:sz w:val="22"/>
                <w:szCs w:val="22"/>
              </w:rPr>
              <w:t>U.S. $10,000,000</w:t>
            </w:r>
          </w:p>
        </w:tc>
        <w:tc>
          <w:tcPr>
            <w:tcW w:w="1959" w:type="dxa"/>
            <w:tcBorders/>
          </w:tcPr>
          <w:p>
            <w:pPr>
              <w:pStyle w:val="Normal"/>
              <w:keepNext w:val="true"/>
              <w:ind w:start="-18" w:end="0"/>
              <w:rPr>
                <w:sz w:val="22"/>
                <w:szCs w:val="22"/>
              </w:rPr>
            </w:pPr>
            <w:r>
              <w:rPr>
                <w:sz w:val="22"/>
                <w:szCs w:val="22"/>
              </w:rPr>
              <w:t>U.S. $5,000,000</w:t>
            </w:r>
          </w:p>
        </w:tc>
        <w:tc>
          <w:tcPr>
            <w:tcW w:w="1828" w:type="dxa"/>
            <w:tcBorders/>
          </w:tcPr>
          <w:p>
            <w:pPr>
              <w:pStyle w:val="Normal"/>
              <w:keepNext w:val="true"/>
              <w:ind w:start="-18" w:end="0"/>
              <w:rPr>
                <w:sz w:val="22"/>
                <w:szCs w:val="22"/>
              </w:rPr>
            </w:pPr>
            <w:r>
              <w:rPr>
                <w:sz w:val="22"/>
                <w:szCs w:val="22"/>
              </w:rPr>
              <w:t>BBB-</w:t>
            </w:r>
          </w:p>
        </w:tc>
        <w:tc>
          <w:tcPr>
            <w:tcW w:w="1901" w:type="dxa"/>
            <w:tcBorders/>
          </w:tcPr>
          <w:p>
            <w:pPr>
              <w:pStyle w:val="Normal"/>
              <w:keepNext w:val="true"/>
              <w:rPr>
                <w:sz w:val="22"/>
                <w:szCs w:val="22"/>
              </w:rPr>
            </w:pPr>
            <w:r>
              <w:rPr>
                <w:sz w:val="22"/>
                <w:szCs w:val="22"/>
              </w:rPr>
              <w:t>Baa3</w:t>
            </w:r>
          </w:p>
        </w:tc>
      </w:tr>
      <w:tr>
        <w:trPr/>
        <w:tc>
          <w:tcPr>
            <w:tcW w:w="2700" w:type="dxa"/>
            <w:tcBorders/>
          </w:tcPr>
          <w:p>
            <w:pPr>
              <w:pStyle w:val="Normal"/>
              <w:keepNext w:val="true"/>
              <w:rPr>
                <w:sz w:val="22"/>
                <w:szCs w:val="22"/>
              </w:rPr>
            </w:pPr>
            <w:r>
              <w:rPr>
                <w:sz w:val="22"/>
                <w:szCs w:val="22"/>
              </w:rPr>
              <w:t xml:space="preserve">U.S.  </w:t>
            </w:r>
          </w:p>
        </w:tc>
        <w:tc>
          <w:tcPr>
            <w:tcW w:w="1959" w:type="dxa"/>
            <w:tcBorders/>
          </w:tcPr>
          <w:p>
            <w:pPr>
              <w:pStyle w:val="Normal"/>
              <w:keepNext w:val="true"/>
              <w:ind w:start="-18" w:end="0"/>
              <w:rPr>
                <w:sz w:val="22"/>
                <w:szCs w:val="22"/>
              </w:rPr>
            </w:pPr>
            <w:r>
              <w:rPr>
                <w:sz w:val="22"/>
                <w:szCs w:val="22"/>
              </w:rPr>
              <w:t xml:space="preserve">U.S. </w:t>
            </w:r>
          </w:p>
        </w:tc>
        <w:tc>
          <w:tcPr>
            <w:tcW w:w="1828" w:type="dxa"/>
            <w:tcBorders/>
          </w:tcPr>
          <w:p>
            <w:pPr>
              <w:pStyle w:val="Normal"/>
              <w:keepNext w:val="true"/>
              <w:ind w:start="-18" w:end="0"/>
              <w:rPr>
                <w:sz w:val="22"/>
                <w:szCs w:val="22"/>
              </w:rPr>
            </w:pPr>
            <w:r>
              <w:rPr>
                <w:sz w:val="22"/>
                <w:szCs w:val="22"/>
              </w:rPr>
              <w:t>Below BBB-</w:t>
            </w:r>
          </w:p>
        </w:tc>
        <w:tc>
          <w:tcPr>
            <w:tcW w:w="1901" w:type="dxa"/>
            <w:tcBorders/>
          </w:tcPr>
          <w:p>
            <w:pPr>
              <w:pStyle w:val="Normal"/>
              <w:keepNext w:val="true"/>
              <w:rPr>
                <w:sz w:val="22"/>
                <w:szCs w:val="22"/>
              </w:rPr>
            </w:pPr>
            <w:r>
              <w:rPr>
                <w:sz w:val="22"/>
                <w:szCs w:val="22"/>
              </w:rPr>
              <w:t>Below Baa3</w:t>
            </w:r>
          </w:p>
        </w:tc>
      </w:tr>
    </w:tbl>
    <w:p>
      <w:pPr>
        <w:pStyle w:val="Normal"/>
        <w:keepNext w:val="true"/>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$250,000 and the Return Amount will be rounded down to the nearest integral multiple of U.S. $250,000.</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sz w:val="22"/>
          <w:szCs w:val="22"/>
        </w:rPr>
      </w:pPr>
      <w:r>
        <w:rPr>
          <w:sz w:val="22"/>
          <w:szCs w:val="22"/>
        </w:rPr>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szCs w:val="22"/>
        </w:rPr>
      </w:pPr>
      <w:r>
        <w:rPr>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440" w:right="1440" w:gutter="0" w:header="540" w:top="72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rFonts w:cs="Times" w:ascii="Times" w:hAnsi="Times"/>
          <w:caps/>
          <w:sz w:val="22"/>
          <w:szCs w:val="22"/>
        </w:rPr>
        <w:t>Allegheny Energy Supply Company, LLC</w:t>
      </w:r>
      <w:r>
        <w:rPr>
          <w:sz w:val="22"/>
          <w:szCs w:val="22"/>
        </w:rPr>
        <w:t xml:space="preserve">, a Delaware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$30,000,000.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510"/>
        <w:gridCol w:w="1890"/>
        <w:gridCol w:w="288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510" w:type="dxa"/>
            <w:tcBorders/>
          </w:tcPr>
          <w:p>
            <w:pPr>
              <w:pStyle w:val="Normal"/>
              <w:keepNext w:val="true"/>
              <w:keepLines/>
              <w:tabs>
                <w:tab w:val="clear" w:pos="720"/>
                <w:tab w:val="left" w:pos="3132" w:leader="none"/>
              </w:tabs>
              <w:spacing w:lineRule="atLeast" w:line="240"/>
              <w:rPr>
                <w:sz w:val="22"/>
                <w:szCs w:val="22"/>
              </w:rPr>
            </w:pPr>
            <w:r>
              <w:rPr>
                <w:sz w:val="22"/>
                <w:szCs w:val="22"/>
              </w:rPr>
              <w:t>Allegheny Energy Supply Company, LLC</w:t>
            </w:r>
          </w:p>
        </w:tc>
        <w:tc>
          <w:tcPr>
            <w:tcW w:w="1890" w:type="dxa"/>
            <w:tcBorders/>
          </w:tcPr>
          <w:p>
            <w:pPr>
              <w:pStyle w:val="Normal"/>
              <w:keepNext w:val="true"/>
              <w:keepLines/>
              <w:spacing w:lineRule="atLeast" w:line="240"/>
              <w:rPr>
                <w:sz w:val="22"/>
                <w:szCs w:val="22"/>
              </w:rPr>
            </w:pPr>
            <w:r>
              <w:rPr>
                <w:sz w:val="22"/>
                <w:szCs w:val="22"/>
              </w:rPr>
              <w:t>To Guarantor:</w:t>
            </w:r>
          </w:p>
        </w:tc>
        <w:tc>
          <w:tcPr>
            <w:tcW w:w="2880" w:type="dxa"/>
            <w:vMerge w:val="restart"/>
            <w:tcBorders/>
          </w:tcPr>
          <w:p>
            <w:pPr>
              <w:pStyle w:val="Normal"/>
              <w:keepNext w:val="true"/>
              <w:keepLines/>
              <w:tabs>
                <w:tab w:val="clear" w:pos="720"/>
                <w:tab w:val="right" w:pos="2988" w:leader="none"/>
              </w:tabs>
              <w:spacing w:lineRule="atLeast" w:line="240"/>
              <w:rPr>
                <w:sz w:val="22"/>
                <w:szCs w:val="22"/>
              </w:rPr>
            </w:pPr>
            <w:r>
              <w:rPr>
                <w:sz w:val="22"/>
                <w:szCs w:val="22"/>
              </w:rPr>
              <w:t>Enron Corp.</w:t>
            </w:r>
          </w:p>
          <w:p>
            <w:pPr>
              <w:pStyle w:val="Normal"/>
              <w:keepNext w:val="true"/>
              <w:keepLines/>
              <w:tabs>
                <w:tab w:val="clear" w:pos="720"/>
                <w:tab w:val="right" w:pos="2988" w:leader="none"/>
              </w:tabs>
              <w:spacing w:lineRule="atLeast" w:line="240"/>
              <w:rPr>
                <w:sz w:val="22"/>
                <w:szCs w:val="22"/>
              </w:rPr>
            </w:pPr>
            <w:r>
              <w:rPr>
                <w:sz w:val="22"/>
                <w:szCs w:val="22"/>
              </w:rPr>
              <w:t>1400 Smith Street</w:t>
            </w:r>
          </w:p>
          <w:p>
            <w:pPr>
              <w:pStyle w:val="Normal"/>
              <w:keepNext w:val="true"/>
              <w:keepLines/>
              <w:tabs>
                <w:tab w:val="clear" w:pos="720"/>
                <w:tab w:val="right" w:pos="2988" w:leader="none"/>
              </w:tabs>
              <w:spacing w:lineRule="atLeast" w:line="240"/>
              <w:rPr>
                <w:sz w:val="22"/>
                <w:szCs w:val="22"/>
              </w:rPr>
            </w:pPr>
            <w:r>
              <w:rPr>
                <w:sz w:val="22"/>
                <w:szCs w:val="22"/>
              </w:rPr>
              <w:t>Houston, Texas 77002</w:t>
            </w:r>
          </w:p>
          <w:p>
            <w:pPr>
              <w:pStyle w:val="BodyText"/>
              <w:keepNext w:val="true"/>
              <w:keepLines/>
              <w:widowControl/>
              <w:tabs>
                <w:tab w:val="clear" w:pos="720"/>
                <w:tab w:val="right" w:pos="2988" w:leader="none"/>
              </w:tabs>
              <w:spacing w:lineRule="atLeast" w:line="240"/>
              <w:rPr/>
            </w:pPr>
            <w:r>
              <w:rPr/>
              <w:t>Attn.:  Vice President, Finance and Treasurer</w:t>
            </w:r>
          </w:p>
          <w:p>
            <w:pPr>
              <w:pStyle w:val="Normal"/>
              <w:keepNext w:val="true"/>
              <w:keepLines/>
              <w:tabs>
                <w:tab w:val="clear" w:pos="720"/>
                <w:tab w:val="right" w:pos="2988" w:leader="none"/>
              </w:tabs>
              <w:spacing w:lineRule="atLeast" w:line="240"/>
              <w:rPr>
                <w:sz w:val="22"/>
                <w:szCs w:val="22"/>
              </w:rPr>
            </w:pPr>
            <w:r>
              <w:rPr>
                <w:sz w:val="22"/>
                <w:szCs w:val="22"/>
              </w:rPr>
              <w:t>Fax No.:  (713) 646-3422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rPr>
            </w:pPr>
            <w:r>
              <w:rPr>
                <w:sz w:val="22"/>
                <w:szCs w:val="22"/>
              </w:rPr>
              <w:t>Roseytown Road</w:t>
            </w:r>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rPr>
            </w:pPr>
            <w:r>
              <w:rPr>
                <w:sz w:val="22"/>
                <w:szCs w:val="22"/>
              </w:rPr>
              <w:t>RR12, Box 1000</w:t>
            </w:r>
          </w:p>
          <w:p>
            <w:pPr>
              <w:pStyle w:val="Normal"/>
              <w:keepNext w:val="true"/>
              <w:keepLines/>
              <w:tabs>
                <w:tab w:val="clear" w:pos="720"/>
                <w:tab w:val="left" w:pos="3132" w:leader="none"/>
              </w:tabs>
              <w:spacing w:lineRule="atLeast" w:line="240"/>
              <w:rPr>
                <w:sz w:val="22"/>
                <w:szCs w:val="22"/>
              </w:rPr>
            </w:pPr>
            <w:r>
              <w:rPr>
                <w:sz w:val="22"/>
                <w:szCs w:val="22"/>
              </w:rPr>
              <w:t>Greensburg, PA 15601</w:t>
            </w:r>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Attn.:  </w:t>
            </w:r>
            <w:r>
              <w:rPr>
                <w:sz w:val="22"/>
                <w:szCs w:val="22"/>
                <w:u w:val="single"/>
              </w:rPr>
              <w:tab/>
            </w:r>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510" w:type="dxa"/>
            <w:tcBorders/>
          </w:tcPr>
          <w:p>
            <w:pPr>
              <w:pStyle w:val="Normal"/>
              <w:keepNext w:val="true"/>
              <w:keepLines/>
              <w:tabs>
                <w:tab w:val="clear" w:pos="720"/>
                <w:tab w:val="left" w:pos="3132" w:leader="none"/>
              </w:tabs>
              <w:spacing w:lineRule="atLeast" w:line="240"/>
              <w:rPr>
                <w:sz w:val="22"/>
                <w:szCs w:val="22"/>
              </w:rPr>
            </w:pPr>
            <w:r>
              <w:rPr>
                <w:sz w:val="22"/>
                <w:szCs w:val="22"/>
              </w:rPr>
              <w:t xml:space="preserve">Fax No.:  </w:t>
            </w:r>
            <w:r>
              <w:rPr>
                <w:sz w:val="22"/>
                <w:szCs w:val="22"/>
                <w:u w:val="single"/>
              </w:rPr>
              <w:tab/>
            </w:r>
          </w:p>
        </w:tc>
        <w:tc>
          <w:tcPr>
            <w:tcW w:w="1890" w:type="dxa"/>
            <w:tcBorders/>
          </w:tcPr>
          <w:p>
            <w:pPr>
              <w:pStyle w:val="Normal"/>
              <w:keepNext w:val="true"/>
              <w:keepLines/>
              <w:snapToGrid w:val="false"/>
              <w:spacing w:lineRule="atLeast" w:line="240"/>
              <w:rPr>
                <w:sz w:val="22"/>
                <w:szCs w:val="22"/>
              </w:rPr>
            </w:pPr>
            <w:r>
              <w:rPr>
                <w:sz w:val="22"/>
                <w:szCs w:val="22"/>
              </w:rPr>
            </w:r>
          </w:p>
        </w:tc>
        <w:tc>
          <w:tcPr>
            <w:tcW w:w="2880" w:type="dxa"/>
            <w:vMerge w:val="continue"/>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/mnt/main-storage/datasets/enron-docs/doc/098_ctr__Allegheny_Energy_Supply_.doc</w:t>
    </w:r>
    <w:r>
      <w:rPr>
        <w:rStyle w:val="PageNumber"/>
        <w:sz w:val="16"/>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/mnt/main-storage/datasets/enron-docs/doc/098_ctr__Allegheny_Energy_Supply_.doc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/mnt/main-storage/datasets/enron-docs/doc/098_ctr__Allegheny_Energy_Supply_.doc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/mnt/main-storage/datasets/enron-docs/doc/098_ctr__Allegheny_Energy_Supply_.doc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val="false"/>
      <w:i w:val="false"/>
      <w:sz w:val="22"/>
      <w:u w:val="none"/>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2001-03-15T17:06:00Z</dcterms:created>
  <dc:creator>mheard</dc:creator>
  <dc:description/>
  <dc:language>en-CA</dc:language>
  <cp:lastModifiedBy>sboyd2</cp:lastModifiedBy>
  <cp:lastPrinted>2001-03-15T13:45:00Z</cp:lastPrinted>
  <dcterms:modified xsi:type="dcterms:W3CDTF">2001-03-15T17:15:00Z</dcterms:modified>
  <cp:revision>4</cp:revision>
  <dc:subject/>
  <dc:title>ISDA Multicurrency Agreement</dc:title>
</cp:coreProperties>
</file>