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Alternative LGS Tariff Provisions</w:t>
      </w:r>
    </w:p>
    <w:p>
      <w:pPr>
        <w:pStyle w:val="Normal"/>
        <w:jc w:val="center"/>
        <w:rPr/>
      </w:pPr>
      <w:r>
        <w:rPr/>
      </w:r>
    </w:p>
    <w:p>
      <w:pPr>
        <w:pStyle w:val="Normal"/>
        <w:numPr>
          <w:ilvl w:val="0"/>
          <w:numId w:val="6"/>
        </w:numPr>
        <w:rPr/>
      </w:pPr>
      <w:r>
        <w:rPr/>
        <w:t>Summary:  develop a tariff that allows marketers to serve customers behind NPCo.  (NPCo sleeves the energy.)</w:t>
      </w:r>
    </w:p>
    <w:p>
      <w:pPr>
        <w:pStyle w:val="Normal"/>
        <w:ind w:start="360" w:end="0"/>
        <w:rPr/>
      </w:pPr>
      <w:r>
        <w:rPr/>
      </w:r>
    </w:p>
    <w:p>
      <w:pPr>
        <w:pStyle w:val="Normal"/>
        <w:numPr>
          <w:ilvl w:val="0"/>
          <w:numId w:val="6"/>
        </w:numPr>
        <w:rPr/>
      </w:pPr>
      <w:r>
        <w:rPr/>
        <w:t xml:space="preserve">Goal:  </w:t>
      </w:r>
    </w:p>
    <w:p>
      <w:pPr>
        <w:pStyle w:val="Normal"/>
        <w:numPr>
          <w:ilvl w:val="0"/>
          <w:numId w:val="5"/>
        </w:numPr>
        <w:rPr/>
      </w:pPr>
      <w:r>
        <w:rPr/>
        <w:t xml:space="preserve"> </w:t>
      </w:r>
      <w:r>
        <w:rPr/>
        <w:t xml:space="preserve">Allow ENE to hedge commodity risk associated with PPE and Harrah’s; </w:t>
      </w:r>
    </w:p>
    <w:p>
      <w:pPr>
        <w:pStyle w:val="Normal"/>
        <w:numPr>
          <w:ilvl w:val="0"/>
          <w:numId w:val="5"/>
        </w:numPr>
        <w:rPr/>
      </w:pPr>
      <w:r>
        <w:rPr/>
        <w:t xml:space="preserve">Create credit potential vehicle for credit enhancement (i.e., backed by dedicated rate component and TorP or fixed price contracts between NPCo and ultimate end-use customer); </w:t>
      </w:r>
    </w:p>
    <w:p>
      <w:pPr>
        <w:pStyle w:val="Normal"/>
        <w:numPr>
          <w:ilvl w:val="0"/>
          <w:numId w:val="5"/>
        </w:numPr>
        <w:rPr/>
      </w:pPr>
      <w:r>
        <w:rPr/>
        <w:t>Create opportunity to build relationships with additional customers.</w:t>
      </w:r>
    </w:p>
    <w:p>
      <w:pPr>
        <w:pStyle w:val="Normal"/>
        <w:numPr>
          <w:ilvl w:val="0"/>
          <w:numId w:val="5"/>
        </w:numPr>
        <w:rPr/>
      </w:pPr>
      <w:r>
        <w:rPr/>
        <w:t>Move NPCo towards complete PLR outsourcing.</w:t>
      </w:r>
    </w:p>
    <w:p>
      <w:pPr>
        <w:pStyle w:val="Normal"/>
        <w:ind w:start="360" w:end="0"/>
        <w:rPr/>
      </w:pPr>
      <w:r>
        <w:rPr/>
      </w:r>
    </w:p>
    <w:p>
      <w:pPr>
        <w:pStyle w:val="Normal"/>
        <w:numPr>
          <w:ilvl w:val="0"/>
          <w:numId w:val="6"/>
        </w:numPr>
        <w:rPr/>
      </w:pPr>
      <w:r>
        <w:rPr/>
        <w:t xml:space="preserve">Benefit to NPCo: </w:t>
      </w:r>
    </w:p>
    <w:p>
      <w:pPr>
        <w:pStyle w:val="Normal"/>
        <w:numPr>
          <w:ilvl w:val="0"/>
          <w:numId w:val="2"/>
        </w:numPr>
        <w:rPr/>
      </w:pPr>
      <w:r>
        <w:rPr/>
        <w:t>As designed below allows NPCO to reduce deferral amount (exit fee approach);</w:t>
      </w:r>
    </w:p>
    <w:p>
      <w:pPr>
        <w:pStyle w:val="Normal"/>
        <w:numPr>
          <w:ilvl w:val="0"/>
          <w:numId w:val="2"/>
        </w:numPr>
        <w:rPr/>
      </w:pPr>
      <w:r>
        <w:rPr/>
        <w:t>Reduces future power cost exposure</w:t>
      </w:r>
    </w:p>
    <w:p>
      <w:pPr>
        <w:pStyle w:val="Normal"/>
        <w:numPr>
          <w:ilvl w:val="0"/>
          <w:numId w:val="2"/>
        </w:numPr>
        <w:rPr/>
      </w:pPr>
      <w:r>
        <w:rPr/>
        <w:t>Creates “happy” customers for NPCO</w:t>
      </w:r>
    </w:p>
    <w:p>
      <w:pPr>
        <w:pStyle w:val="Normal"/>
        <w:rPr/>
      </w:pPr>
      <w:r>
        <w:rPr/>
      </w:r>
    </w:p>
    <w:p>
      <w:pPr>
        <w:pStyle w:val="Normal"/>
        <w:rPr/>
      </w:pPr>
      <w:r>
        <w:rPr/>
      </w:r>
    </w:p>
    <w:p>
      <w:pPr>
        <w:pStyle w:val="Normal"/>
        <w:numPr>
          <w:ilvl w:val="0"/>
          <w:numId w:val="6"/>
        </w:numPr>
        <w:rPr/>
      </w:pPr>
      <w:r>
        <w:rPr/>
        <w:t>Proposal will require PUCN to:</w:t>
      </w:r>
    </w:p>
    <w:p>
      <w:pPr>
        <w:pStyle w:val="Normal"/>
        <w:numPr>
          <w:ilvl w:val="0"/>
          <w:numId w:val="1"/>
        </w:numPr>
        <w:rPr/>
      </w:pPr>
      <w:r>
        <w:rPr/>
        <w:t xml:space="preserve">Unbundle commodity costs and ancillary service charges.  Will work best if NPCo does not seek margin from commodity portion of rate (in contrast to, e.g., PGE schedule 63); </w:t>
      </w:r>
    </w:p>
    <w:p>
      <w:pPr>
        <w:pStyle w:val="Normal"/>
        <w:numPr>
          <w:ilvl w:val="0"/>
          <w:numId w:val="1"/>
        </w:numPr>
        <w:rPr/>
      </w:pPr>
      <w:r>
        <w:rPr/>
        <w:t>Issue an order on deferred energy allowing exit-fees and approving other aspects of tariff.</w:t>
      </w:r>
    </w:p>
    <w:p>
      <w:pPr>
        <w:pStyle w:val="Normal"/>
        <w:rPr/>
      </w:pPr>
      <w:r>
        <w:rPr/>
      </w:r>
    </w:p>
    <w:p>
      <w:pPr>
        <w:pStyle w:val="Normal"/>
        <w:numPr>
          <w:ilvl w:val="0"/>
          <w:numId w:val="6"/>
        </w:numPr>
        <w:rPr/>
      </w:pPr>
      <w:r>
        <w:rPr/>
        <w:t xml:space="preserve">Design:  </w:t>
      </w:r>
    </w:p>
    <w:p>
      <w:pPr>
        <w:pStyle w:val="Normal"/>
        <w:numPr>
          <w:ilvl w:val="0"/>
          <w:numId w:val="4"/>
        </w:numPr>
        <w:rPr/>
      </w:pPr>
      <w:r>
        <w:rPr/>
        <w:t xml:space="preserve">Optional rate schedule for loads in excess LGS and larger customers; </w:t>
      </w:r>
    </w:p>
    <w:p>
      <w:pPr>
        <w:pStyle w:val="Normal"/>
        <w:numPr>
          <w:ilvl w:val="0"/>
          <w:numId w:val="4"/>
        </w:numPr>
        <w:rPr/>
      </w:pPr>
      <w:r>
        <w:rPr/>
        <w:t>Customer pays separately unbundled T&amp;D related charges, ancillary service charges, and some administrative fee to NPCo;</w:t>
      </w:r>
    </w:p>
    <w:p>
      <w:pPr>
        <w:pStyle w:val="Normal"/>
        <w:numPr>
          <w:ilvl w:val="0"/>
          <w:numId w:val="4"/>
        </w:numPr>
        <w:rPr/>
      </w:pPr>
      <w:r>
        <w:rPr/>
        <w:t xml:space="preserve">Can offer monthly, annual or multi-year pricing; </w:t>
      </w:r>
    </w:p>
    <w:p>
      <w:pPr>
        <w:pStyle w:val="Normal"/>
        <w:numPr>
          <w:ilvl w:val="0"/>
          <w:numId w:val="4"/>
        </w:numPr>
        <w:rPr/>
      </w:pPr>
      <w:r>
        <w:rPr/>
        <w:t xml:space="preserve">Establish threshold amount for tariff (e.g., tariff is withdrawn if &lt; 50 MW sign up); </w:t>
      </w:r>
    </w:p>
    <w:p>
      <w:pPr>
        <w:pStyle w:val="Normal"/>
        <w:numPr>
          <w:ilvl w:val="0"/>
          <w:numId w:val="4"/>
        </w:numPr>
        <w:rPr/>
      </w:pPr>
      <w:r>
        <w:rPr/>
        <w:t>Hold “open-season” to sign up (time open season to coincide with NPCo’s schedule for contracting forward).</w:t>
      </w:r>
    </w:p>
    <w:p>
      <w:pPr>
        <w:pStyle w:val="Normal"/>
        <w:numPr>
          <w:ilvl w:val="0"/>
          <w:numId w:val="4"/>
        </w:numPr>
        <w:rPr/>
      </w:pPr>
      <w:r>
        <w:rPr/>
        <w:t>Require contract from customer with either a Take-or-Pay commitment or with fixed rate component.</w:t>
      </w:r>
    </w:p>
    <w:p>
      <w:pPr>
        <w:pStyle w:val="Normal"/>
        <w:numPr>
          <w:ilvl w:val="0"/>
          <w:numId w:val="4"/>
        </w:numPr>
        <w:rPr/>
      </w:pPr>
      <w:r>
        <w:rPr/>
        <w:t xml:space="preserve">Require customer to cover energy costs in deferral.  </w:t>
      </w:r>
    </w:p>
    <w:p>
      <w:pPr>
        <w:pStyle w:val="Normal"/>
        <w:numPr>
          <w:ilvl w:val="0"/>
          <w:numId w:val="4"/>
        </w:numPr>
        <w:rPr/>
      </w:pPr>
      <w:r>
        <w:rPr/>
        <w:t>But allow exit-fee or other mechanism so customer can finance move to tariff</w:t>
      </w:r>
    </w:p>
    <w:p>
      <w:pPr>
        <w:pStyle w:val="Normal"/>
        <w:ind w:start="360" w:end="0"/>
        <w:rPr/>
      </w:pPr>
      <w:r>
        <w:rPr/>
      </w:r>
    </w:p>
    <w:p>
      <w:pPr>
        <w:pStyle w:val="Normal"/>
        <w:numPr>
          <w:ilvl w:val="0"/>
          <w:numId w:val="6"/>
        </w:numPr>
        <w:rPr/>
      </w:pPr>
      <w:r>
        <w:rPr/>
        <w:t xml:space="preserve">Approach </w:t>
      </w:r>
    </w:p>
    <w:p>
      <w:pPr>
        <w:pStyle w:val="Normal"/>
        <w:numPr>
          <w:ilvl w:val="0"/>
          <w:numId w:val="3"/>
        </w:numPr>
        <w:rPr/>
      </w:pPr>
      <w:r>
        <w:rPr/>
        <w:t>Develop tariff in private discussions with PUCN staff;</w:t>
      </w:r>
    </w:p>
    <w:p>
      <w:pPr>
        <w:pStyle w:val="Normal"/>
        <w:numPr>
          <w:ilvl w:val="0"/>
          <w:numId w:val="3"/>
        </w:numPr>
        <w:rPr/>
      </w:pPr>
      <w:r>
        <w:rPr/>
        <w:t>Meet with NPCO and Sierra prior to filing of NPCO rate case;</w:t>
      </w:r>
    </w:p>
    <w:p>
      <w:pPr>
        <w:pStyle w:val="Normal"/>
        <w:numPr>
          <w:ilvl w:val="0"/>
          <w:numId w:val="3"/>
        </w:numPr>
        <w:rPr/>
      </w:pPr>
      <w:r>
        <w:rPr/>
        <w:t>EES to meet with Harrah’s and PPE;</w:t>
      </w:r>
    </w:p>
    <w:p>
      <w:pPr>
        <w:pStyle w:val="Normal"/>
        <w:numPr>
          <w:ilvl w:val="0"/>
          <w:numId w:val="3"/>
        </w:numPr>
        <w:rPr/>
      </w:pPr>
      <w:r>
        <w:rPr/>
        <w:t>Meet with Consumer Advocate and other customer groups;</w:t>
      </w:r>
    </w:p>
    <w:p>
      <w:pPr>
        <w:pStyle w:val="Normal"/>
        <w:numPr>
          <w:ilvl w:val="0"/>
          <w:numId w:val="3"/>
        </w:numPr>
        <w:rPr/>
      </w:pPr>
      <w:r>
        <w:rPr/>
        <w:t>File testimony in rate case supporting tariff.</w:t>
      </w:r>
    </w:p>
    <w:p>
      <w:pPr>
        <w:pStyle w:val="Normal"/>
        <w:ind w:start="360" w:end="0"/>
        <w:rPr/>
      </w:pPr>
      <w:r>
        <w:rPr/>
      </w:r>
    </w:p>
    <w:p>
      <w:pPr>
        <w:pStyle w:val="Normal"/>
        <w:numPr>
          <w:ilvl w:val="0"/>
          <w:numId w:val="6"/>
        </w:numPr>
        <w:rPr/>
      </w:pPr>
      <w:r>
        <w:rPr/>
        <w:t xml:space="preserve">We may not be able to sole source tariff to Enron—but may not care.  We already have customers and relationships with others.  If approach loosens credit restrictions, it will increase trading opportunities.  </w:t>
      </w:r>
    </w:p>
    <w:p>
      <w:pPr>
        <w:pStyle w:val="Normal"/>
        <w:ind w:start="360" w:end="0"/>
        <w:rPr/>
      </w:pPr>
      <w:r>
        <w:rPr/>
      </w:r>
    </w:p>
    <w:p>
      <w:pPr>
        <w:pStyle w:val="Normal"/>
        <w:numPr>
          <w:ilvl w:val="0"/>
          <w:numId w:val="6"/>
        </w:numPr>
        <w:rPr/>
      </w:pPr>
      <w:r>
        <w:rPr/>
        <w:t xml:space="preserve">Will have to sell NPCo and Sierra of benefits of approach—always a difficult task.  </w:t>
      </w:r>
    </w:p>
    <w:p>
      <w:pPr>
        <w:pStyle w:val="Normal"/>
        <w:ind w:start="1080" w:end="0"/>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sz w:val="28"/>
      </w:rPr>
    </w:pPr>
    <w:r>
      <w:rPr>
        <w:b/>
        <w:bCs/>
        <w:sz w:val="28"/>
      </w:rPr>
      <w:t>DRAFT</w:t>
    </w:r>
  </w:p>
  <w:p>
    <w:pPr>
      <w:pStyle w:val="Foo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360"/>
      </w:pPr>
      <w:rPr/>
    </w:lvl>
  </w:abstractNum>
  <w:abstractNum w:abstractNumId="2">
    <w:lvl w:ilvl="0">
      <w:start w:val="1"/>
      <w:numFmt w:val="decimal"/>
      <w:lvlText w:val="(%1)"/>
      <w:lvlJc w:val="start"/>
      <w:pPr>
        <w:tabs>
          <w:tab w:val="num" w:pos="1440"/>
        </w:tabs>
        <w:ind w:start="144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decimal"/>
      <w:lvlText w:val="(%1)"/>
      <w:lvlJc w:val="start"/>
      <w:pPr>
        <w:tabs>
          <w:tab w:val="num" w:pos="1440"/>
        </w:tabs>
        <w:ind w:start="1440" w:hanging="360"/>
      </w:pPr>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2001-09-20T21:46:00Z</dcterms:created>
  <dc:creator>pkaufma</dc:creator>
  <dc:description/>
  <dc:language>en-CA</dc:language>
  <cp:lastModifiedBy>pkaufma</cp:lastModifiedBy>
  <dcterms:modified xsi:type="dcterms:W3CDTF">2001-09-20T22:26:00Z</dcterms:modified>
  <cp:revision>1</cp:revision>
  <dc:subject/>
  <dc:title>Alternative LGS Tariff Provisions</dc:title>
</cp:coreProperties>
</file>