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9</w:t>
      </w:r>
      <w:r>
        <w:rPr>
          <w:sz w:val="24"/>
          <w:vertAlign w:val="superscript"/>
        </w:rPr>
        <w:t>th</w:t>
      </w:r>
      <w:r>
        <w:rPr>
          <w:sz w:val="24"/>
        </w:rPr>
        <w:t xml:space="preserve"> March 2001</w:t>
      </w:r>
    </w:p>
    <w:p>
      <w:pPr>
        <w:pStyle w:val="Normal"/>
        <w:rPr>
          <w:b/>
          <w:sz w:val="24"/>
        </w:rPr>
      </w:pPr>
      <w:r>
        <w:rPr>
          <w:b/>
          <w:sz w:val="24"/>
        </w:rPr>
      </w:r>
    </w:p>
    <w:p>
      <w:pPr>
        <w:pStyle w:val="Normal"/>
        <w:rPr>
          <w:sz w:val="24"/>
        </w:rPr>
      </w:pPr>
      <w:r>
        <w:rPr>
          <w:b/>
          <w:sz w:val="24"/>
        </w:rPr>
        <w:t>To:</w:t>
        <w:tab/>
        <w:tab/>
      </w:r>
      <w:r>
        <w:rPr>
          <w:bCs/>
          <w:sz w:val="24"/>
        </w:rPr>
        <w:t>Weekly Report</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Heading1"/>
        <w:ind w:hanging="0" w:start="0"/>
        <w:jc w:val="both"/>
        <w:rPr>
          <w:rFonts w:ascii="Times New Roman" w:hAnsi="Times New Roman" w:cs="Times New Roman"/>
          <w:sz w:val="24"/>
        </w:rPr>
      </w:pPr>
      <w:r>
        <w:rPr>
          <w:rFonts w:cs="Times New Roman" w:ascii="Times New Roman" w:hAnsi="Times New Roman"/>
          <w:sz w:val="24"/>
        </w:rPr>
      </w:r>
    </w:p>
    <w:p>
      <w:pPr>
        <w:pStyle w:val="Heading3"/>
        <w:autoSpaceDE w:val="false"/>
        <w:ind w:hanging="0" w:start="0"/>
        <w:rPr>
          <w:bCs/>
          <w:lang w:val="en-US"/>
        </w:rPr>
      </w:pPr>
      <w:r>
        <w:rPr>
          <w:bCs/>
          <w:lang w:val="en-US"/>
        </w:rPr>
        <w:t>France</w:t>
      </w:r>
    </w:p>
    <w:p>
      <w:pPr>
        <w:pStyle w:val="Normal"/>
        <w:autoSpaceDE w:val="false"/>
        <w:spacing w:lineRule="atLeast" w:line="240"/>
        <w:jc w:val="both"/>
        <w:rPr>
          <w:b/>
          <w:bCs/>
          <w:color w:val="000000"/>
          <w:sz w:val="24"/>
          <w:lang w:val="en-US"/>
        </w:rPr>
      </w:pPr>
      <w:r>
        <w:rPr>
          <w:b/>
          <w:bCs/>
          <w:color w:val="000000"/>
          <w:sz w:val="24"/>
          <w:lang w:val="en-US"/>
        </w:rPr>
        <w:t>Electricity</w:t>
      </w:r>
    </w:p>
    <w:p>
      <w:pPr>
        <w:pStyle w:val="Normal"/>
        <w:numPr>
          <w:ilvl w:val="0"/>
          <w:numId w:val="4"/>
        </w:numPr>
        <w:autoSpaceDE w:val="false"/>
        <w:spacing w:lineRule="atLeast" w:line="240"/>
        <w:jc w:val="both"/>
        <w:rPr>
          <w:color w:val="000000"/>
          <w:sz w:val="24"/>
          <w:lang w:val="en-US"/>
        </w:rPr>
      </w:pPr>
      <w:r>
        <w:rPr>
          <w:color w:val="000000"/>
          <w:sz w:val="24"/>
          <w:lang w:val="en-US"/>
        </w:rPr>
        <w:t>On February 27, EFET France met with RTE (French TSO) to discuss their border and congestion fee allocation policy. Our objective was to get a commitment from RTE to change the current procedure, where fees are allocated only to the contracts deemed "responsible" for the congestion, to a pro rata system. The outcome of the meeting was that neither congestion management, congestion fee allocation nor capacity allocation procedures would change until the beginning of 2002 at which time RTE hopes to have common border allocation procedures with neighboring TSOs (auctions in most cases).</w:t>
      </w:r>
    </w:p>
    <w:p>
      <w:pPr>
        <w:pStyle w:val="Normal"/>
        <w:numPr>
          <w:ilvl w:val="0"/>
          <w:numId w:val="4"/>
        </w:numPr>
        <w:autoSpaceDE w:val="false"/>
        <w:spacing w:lineRule="atLeast" w:line="240"/>
        <w:jc w:val="both"/>
        <w:rPr>
          <w:color w:val="000000"/>
          <w:sz w:val="24"/>
          <w:lang w:val="en-US"/>
        </w:rPr>
      </w:pPr>
      <w:r>
        <w:rPr>
          <w:color w:val="000000"/>
          <w:sz w:val="24"/>
          <w:lang w:val="en-US"/>
        </w:rPr>
        <w:t>EFET France will follow -up with a letter to the CRE (French Regulator).</w:t>
      </w:r>
    </w:p>
    <w:p>
      <w:pPr>
        <w:pStyle w:val="Normal"/>
        <w:autoSpaceDE w:val="false"/>
        <w:spacing w:lineRule="atLeast" w:line="240"/>
        <w:jc w:val="both"/>
        <w:rPr>
          <w:b/>
          <w:bCs/>
          <w:color w:val="000000"/>
          <w:sz w:val="24"/>
          <w:lang w:val="en-US"/>
        </w:rPr>
      </w:pPr>
      <w:r>
        <w:rPr>
          <w:b/>
          <w:bCs/>
          <w:color w:val="000000"/>
          <w:sz w:val="24"/>
          <w:lang w:val="en-US"/>
        </w:rPr>
        <w:t>Gas</w:t>
      </w:r>
    </w:p>
    <w:p>
      <w:pPr>
        <w:pStyle w:val="Normal"/>
        <w:numPr>
          <w:ilvl w:val="0"/>
          <w:numId w:val="5"/>
        </w:numPr>
        <w:autoSpaceDE w:val="false"/>
        <w:spacing w:lineRule="atLeast" w:line="240"/>
        <w:jc w:val="both"/>
        <w:rPr>
          <w:color w:val="000000"/>
          <w:sz w:val="24"/>
          <w:lang w:val="en-US"/>
        </w:rPr>
      </w:pPr>
      <w:r>
        <w:rPr>
          <w:color w:val="000000"/>
          <w:sz w:val="24"/>
          <w:lang w:val="en-US"/>
        </w:rPr>
        <w:t>On March 5, EFET, with the input of Enron, sent comments to the CRE, in response to a draft report recommending nodal (defined in the report as UK entry/exit), cost reflective tariffs and a revenue cap regulation. The report also commented, with implicit recommendations, on the eligibility threshold (no need to accelerate), the inconsistency between a capital intensive industry which should be based on long term contracts in order to fund long term investments, and the introduction of a market which is more focused on short term issues, the lack of harmonisation between TSO's and between regulatory authorities limit competition, accounting separation as required by the original gas directive is sufficient, and the need for RTPA, transparency, and non-discriminatory access.</w:t>
      </w:r>
    </w:p>
    <w:p>
      <w:pPr>
        <w:pStyle w:val="Normal"/>
        <w:autoSpaceDE w:val="false"/>
        <w:spacing w:lineRule="atLeast" w:line="240"/>
        <w:jc w:val="both"/>
        <w:rPr>
          <w:color w:val="000000"/>
          <w:sz w:val="24"/>
          <w:lang w:val="en-US"/>
        </w:rPr>
      </w:pPr>
      <w:r>
        <w:rPr>
          <w:color w:val="000000"/>
          <w:sz w:val="24"/>
          <w:lang w:val="en-US"/>
        </w:rPr>
      </w:r>
    </w:p>
    <w:p>
      <w:pPr>
        <w:pStyle w:val="Heading3"/>
        <w:ind w:hanging="0" w:start="0"/>
        <w:jc w:val="both"/>
        <w:rPr>
          <w:bCs/>
        </w:rPr>
      </w:pPr>
      <w:r>
        <w:rPr>
          <w:bCs/>
        </w:rPr>
        <w:t>Spain</w:t>
      </w:r>
    </w:p>
    <w:p>
      <w:pPr>
        <w:pStyle w:val="Normal"/>
        <w:numPr>
          <w:ilvl w:val="0"/>
          <w:numId w:val="2"/>
        </w:numPr>
        <w:autoSpaceDE w:val="false"/>
        <w:spacing w:lineRule="atLeast" w:line="240"/>
        <w:jc w:val="both"/>
        <w:rPr>
          <w:color w:val="000000"/>
          <w:sz w:val="24"/>
          <w:lang w:val="en-US"/>
        </w:rPr>
      </w:pPr>
      <w:r>
        <w:rPr>
          <w:color w:val="000000"/>
          <w:sz w:val="24"/>
          <w:lang w:val="en-US"/>
        </w:rPr>
        <w:t>We submitted a communication to the Director General of Energy regarding the Enagas' lack of transportation issue. In this communication, we informed the DG about Enagas' denial of access to the gas grid, and the existence of some possible remedies. We kept stressing to the DG the potential of discrimination and abuse of dominant position by Enagas, and reiterated our desire for a prompt intervention on this issue.</w:t>
      </w:r>
    </w:p>
    <w:p>
      <w:pPr>
        <w:pStyle w:val="Normal"/>
        <w:numPr>
          <w:ilvl w:val="0"/>
          <w:numId w:val="2"/>
        </w:numPr>
        <w:autoSpaceDE w:val="false"/>
        <w:spacing w:lineRule="atLeast" w:line="240"/>
        <w:jc w:val="both"/>
        <w:rPr>
          <w:color w:val="000000"/>
          <w:sz w:val="24"/>
          <w:lang w:val="en-US"/>
        </w:rPr>
      </w:pPr>
      <w:r>
        <w:rPr>
          <w:color w:val="000000"/>
          <w:sz w:val="24"/>
          <w:lang w:val="en-US"/>
        </w:rPr>
        <w:t>Ken Lay met with Minister of Economy and Vice Prime Minister Rodrigo Rato on the 8</w:t>
      </w:r>
      <w:r>
        <w:rPr>
          <w:color w:val="000000"/>
          <w:sz w:val="24"/>
          <w:vertAlign w:val="superscript"/>
          <w:lang w:val="en-US"/>
        </w:rPr>
        <w:t>th</w:t>
      </w:r>
      <w:r>
        <w:rPr>
          <w:color w:val="000000"/>
          <w:sz w:val="24"/>
          <w:lang w:val="en-US"/>
        </w:rPr>
        <w:t xml:space="preserve"> March 2001.</w:t>
      </w:r>
    </w:p>
    <w:p>
      <w:pPr>
        <w:pStyle w:val="Normal"/>
        <w:autoSpaceDE w:val="false"/>
        <w:spacing w:lineRule="atLeast" w:line="240"/>
        <w:jc w:val="both"/>
        <w:rPr>
          <w:color w:val="000000"/>
          <w:sz w:val="24"/>
          <w:lang w:val="en-US"/>
        </w:rPr>
      </w:pPr>
      <w:r>
        <w:rPr>
          <w:color w:val="000000"/>
          <w:sz w:val="24"/>
          <w:lang w:val="en-US"/>
        </w:rPr>
      </w:r>
    </w:p>
    <w:p>
      <w:pPr>
        <w:pStyle w:val="Heading3"/>
        <w:autoSpaceDE w:val="false"/>
        <w:ind w:hanging="0" w:start="0"/>
        <w:rPr>
          <w:bCs/>
          <w:lang w:val="en-US"/>
        </w:rPr>
      </w:pPr>
      <w:r>
        <w:rPr>
          <w:bCs/>
          <w:lang w:val="en-US"/>
        </w:rPr>
        <w:t>Denmark</w:t>
      </w:r>
    </w:p>
    <w:p>
      <w:pPr>
        <w:pStyle w:val="Normal"/>
        <w:numPr>
          <w:ilvl w:val="0"/>
          <w:numId w:val="3"/>
        </w:numPr>
        <w:autoSpaceDE w:val="false"/>
        <w:spacing w:lineRule="atLeast" w:line="240"/>
        <w:jc w:val="both"/>
        <w:rPr>
          <w:color w:val="000000"/>
          <w:sz w:val="24"/>
          <w:lang w:val="en-US"/>
        </w:rPr>
      </w:pPr>
      <w:r>
        <w:rPr>
          <w:color w:val="000000"/>
          <w:sz w:val="24"/>
          <w:lang w:val="en-US"/>
        </w:rPr>
        <w:t>We met with Elkraft System, the Eastern Denmark grid operator to discuss access to the Kontek Cable which links the E. Danish grid to Germany's VEAG grid. Whilst opening up of southbound capacity awaits guidelines on implementation of the use-it or lose-it principle we pointed out that Enron would like to transmit northbound if the daily capacity were offered on a firm basis. Elkraft System is keen to get power flowing in from Germany and they will look into such possibility. Currently only long term contracts (&gt;1 month) get capacity on a firm basis.</w:t>
      </w:r>
    </w:p>
    <w:p>
      <w:pPr>
        <w:pStyle w:val="Normal"/>
        <w:spacing w:lineRule="atLeast" w:line="240"/>
        <w:jc w:val="both"/>
        <w:rPr>
          <w:b/>
          <w:color w:val="000000"/>
          <w:sz w:val="24"/>
          <w:lang w:val="en-AU"/>
        </w:rPr>
      </w:pPr>
      <w:r>
        <w:rPr>
          <w:b/>
          <w:color w:val="000000"/>
          <w:sz w:val="24"/>
          <w:lang w:val="en-AU"/>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Andreas Wagner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Charmaine McGill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Oliver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Bob Manasse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Paul Turner</w:t>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autoSpaceDE w:val="false"/>
      <w:spacing w:lineRule="atLeast" w:line="240"/>
      <w:outlineLvl w:val="6"/>
    </w:pPr>
    <w:rPr>
      <w:b/>
      <w:bCs/>
      <w:color w:val="000000"/>
      <w:sz w:val="24"/>
      <w:u w:val="single"/>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Times New Roman" w:hAnsi="Times New Roman" w:cs="Times New Roman"/>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2001-03-08T06:25:00Z</dcterms:created>
  <dc:creator>SEvans2</dc:creator>
  <dc:description/>
  <dc:language>en-CA</dc:language>
  <cp:lastModifiedBy>bashcrof</cp:lastModifiedBy>
  <cp:lastPrinted>2001-03-08T15:07:00Z</cp:lastPrinted>
  <dcterms:modified xsi:type="dcterms:W3CDTF">2001-03-09T14:02:00Z</dcterms:modified>
  <cp:revision>7</cp:revision>
  <dc:subject/>
  <dc:title>Weekly Report </dc:title>
</cp:coreProperties>
</file>