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I.</w:t>
        <w:tab/>
        <w:t>INTRODUCTION.</w:t>
      </w:r>
    </w:p>
    <w:p>
      <w:pPr>
        <w:pStyle w:val="Normal"/>
        <w:jc w:val="both"/>
        <w:rPr/>
      </w:pPr>
      <w:r>
        <w:rPr/>
      </w:r>
    </w:p>
    <w:p>
      <w:pPr>
        <w:pStyle w:val="BodyText"/>
        <w:ind w:firstLine="720" w:end="0"/>
        <w:jc w:val="both"/>
        <w:rPr/>
      </w:pPr>
      <w:r>
        <w:rPr/>
        <w:t xml:space="preserve">Pursuant to Rule 77.6 of the Rules of Practice and Procedure (“Rules”) of the California Public Utilities Commission  (“CPUC”), the University of California and the California State Universities (collectively “UC/CSU”) present Comments on the August 27, 2001 draft decision of Administrative Law Judge Barnett (“Barnett DD”) implementing the suspension of direct access under AB1X.   </w:t>
      </w:r>
    </w:p>
    <w:p>
      <w:pPr>
        <w:pStyle w:val="BodyText"/>
        <w:spacing w:lineRule="auto" w:line="240"/>
        <w:ind w:hanging="720" w:start="720" w:end="0"/>
        <w:jc w:val="both"/>
        <w:rPr>
          <w:b/>
        </w:rPr>
      </w:pPr>
      <w:r>
        <w:rPr>
          <w:b/>
        </w:rPr>
        <w:t xml:space="preserve"> </w:t>
      </w:r>
      <w:r>
        <w:rPr>
          <w:b/>
        </w:rPr>
        <w:t>II.</w:t>
        <w:tab/>
        <w:t xml:space="preserve">THE CPUC SHOULD ADOPT THE ALTERNATE DECISION OF COMMISSIONER BILAS. </w:t>
      </w:r>
    </w:p>
    <w:p>
      <w:pPr>
        <w:pStyle w:val="BodyText"/>
        <w:spacing w:lineRule="auto" w:line="240"/>
        <w:ind w:hanging="720" w:start="720" w:end="0"/>
        <w:jc w:val="both"/>
        <w:rPr>
          <w:b/>
        </w:rPr>
      </w:pPr>
      <w:r>
        <w:rPr>
          <w:b/>
        </w:rPr>
        <w:tab/>
      </w:r>
    </w:p>
    <w:p>
      <w:pPr>
        <w:pStyle w:val="Normal"/>
        <w:spacing w:lineRule="auto" w:line="480"/>
        <w:jc w:val="both"/>
        <w:rPr/>
      </w:pPr>
      <w:r>
        <w:rPr/>
        <w:tab/>
      </w:r>
      <w:r>
        <w:rPr>
          <w:sz w:val="24"/>
        </w:rPr>
        <w:t>As discussed in Commissioner Bilas’ Alternate Draft Decision (“Bilas Alternate Decision”) and virtually every comment filed on this matter, the CPUC must not and need not rush to suspend direct access.   The reasons for a deliberative, but timely process to determine the method and timing of a suspension of direct access are numerous: it is likely that AB1X will be amended or superceded; if AB1X is not amended or superceded the CPUC must reconcile its provisions with existing laws on direct access; the Department of Water Resources contracts are poorly understood; existing arrangements for direct access cannot be impaired; a poorly worded decision, such as the Barnett DD will create mass confusion in the energy markets, and; most significantly, direct access is a benefit to the State of California.</w:t>
      </w:r>
    </w:p>
    <w:p>
      <w:pPr>
        <w:pStyle w:val="BodyText"/>
        <w:ind w:firstLine="720" w:end="0"/>
        <w:jc w:val="both"/>
        <w:rPr/>
      </w:pPr>
      <w:r>
        <w:rPr/>
        <w:t>As UC/CSU pointed out in their comments on the June 15, 2001 draft decisions of ALJ Barnett and Commissioner Bilas, direct access provides many important benefits to customers and to the State of California including price risk management, a reduction of the amount of power to be purchased by the Department of Water Resources and an enhanced ability to manage energy consumption.  These benefits have become even more important to governmental and private entities as the economy slows and current or anticipated tax revenues and profits decrease.  In contrast, the Barnett DD will drastically alter an existing market and such action cannot be taken without a careful review of the alternatives and a deliberative process that protects the due process rights of the market participants as proposed by Commissioner Bilas.</w:t>
      </w:r>
    </w:p>
    <w:p>
      <w:pPr>
        <w:pStyle w:val="BodyTextIndent2"/>
        <w:jc w:val="both"/>
        <w:rPr/>
      </w:pPr>
      <w:r>
        <w:rPr/>
      </w:r>
    </w:p>
    <w:p>
      <w:pPr>
        <w:pStyle w:val="BodyTextIndent2"/>
        <w:jc w:val="both"/>
        <w:rPr/>
      </w:pPr>
      <w:r>
        <w:rPr/>
        <w:t>III.</w:t>
        <w:tab/>
        <w:t>IF THE CPUC ADOPTS THE BARNETT DD, THE DECISION CANNOT BE RETROACTIVELY APPLIED AND MUST BE CLARIFIED.</w:t>
      </w:r>
    </w:p>
    <w:p>
      <w:pPr>
        <w:pStyle w:val="Normal"/>
        <w:ind w:hanging="720" w:start="720" w:end="0"/>
        <w:jc w:val="both"/>
        <w:rPr>
          <w:b/>
          <w:sz w:val="24"/>
        </w:rPr>
      </w:pPr>
      <w:r>
        <w:rPr>
          <w:b/>
          <w:sz w:val="24"/>
        </w:rPr>
      </w:r>
    </w:p>
    <w:p>
      <w:pPr>
        <w:pStyle w:val="Normal"/>
        <w:tabs>
          <w:tab w:val="clear" w:pos="720"/>
          <w:tab w:val="left" w:pos="0" w:leader="none"/>
        </w:tabs>
        <w:spacing w:lineRule="auto" w:line="480"/>
        <w:jc w:val="both"/>
        <w:rPr/>
      </w:pPr>
      <w:r>
        <w:rPr>
          <w:b/>
          <w:sz w:val="24"/>
        </w:rPr>
        <w:tab/>
      </w:r>
      <w:r>
        <w:rPr>
          <w:sz w:val="24"/>
        </w:rPr>
        <w:t>For the reasons discussed below, if the CPUC decides to adopt the Barnett DD, it must be amended to avoid retroactive application and to clarify the rights of existing direct access customers.</w:t>
      </w:r>
    </w:p>
    <w:p>
      <w:pPr>
        <w:pStyle w:val="Heading3"/>
        <w:jc w:val="both"/>
        <w:rPr/>
      </w:pPr>
      <w:r>
        <w:rPr/>
        <w:t>A.</w:t>
        <w:tab/>
        <w:t>The Draft Decision Cannot be Retroactively Applied.</w:t>
      </w:r>
    </w:p>
    <w:p>
      <w:pPr>
        <w:pStyle w:val="BodyTextIndent3"/>
        <w:rPr/>
      </w:pPr>
      <w:r>
        <w:rPr/>
        <w:t xml:space="preserve">ALJ Barnett’s draft decision requests comments on the following points </w:t>
      </w:r>
      <w:r>
        <w:rPr>
          <w:b/>
          <w:bCs/>
        </w:rPr>
        <w:t>(1)</w:t>
      </w:r>
      <w:r>
        <w:rPr/>
        <w:t xml:space="preserve"> whether AB1X suspends the entire direct access program, including all transactions under that program; </w:t>
      </w:r>
      <w:r>
        <w:rPr>
          <w:b/>
          <w:bCs/>
        </w:rPr>
        <w:t>(2)</w:t>
      </w:r>
      <w:r>
        <w:rPr/>
        <w:t xml:space="preserve"> how the Commission can comply with AB1X if it exempts written contracts for direct access executed before July 1, 2001 from the suspension; and </w:t>
      </w:r>
      <w:r>
        <w:rPr>
          <w:b/>
          <w:bCs/>
        </w:rPr>
        <w:t>(3)</w:t>
      </w:r>
      <w:r>
        <w:rPr/>
        <w:t xml:space="preserve"> whether July 1, 2001 is an appropriate date for the suspension.</w:t>
      </w:r>
    </w:p>
    <w:p>
      <w:pPr>
        <w:pStyle w:val="BodyText"/>
        <w:ind w:firstLine="1440" w:end="0"/>
        <w:jc w:val="both"/>
        <w:rPr/>
      </w:pPr>
      <w:r>
        <w:rPr/>
        <w:t xml:space="preserve">UC/CSU strongly believe that the CPUC must allow consumers with current direct access contracts, such as UC/CSU, to continue on direct access service.  Article I, Section 10 of the United States Constitution provides that no state shall pass a law that impairs the obligations of contracts.  The application of the CPUC’s suspension of direct access to all direct access contracts regardless of the date of execution, or indeed any retroactive application of the CPUC’s decision, would be a patent violation of this constitutional protection.  </w:t>
      </w:r>
    </w:p>
    <w:p>
      <w:pPr>
        <w:pStyle w:val="BodyText"/>
        <w:ind w:firstLine="1440" w:end="0"/>
        <w:jc w:val="both"/>
        <w:rPr/>
      </w:pPr>
      <w:r>
        <w:rPr/>
        <w:t xml:space="preserve">The Barnett DD claims that a retroactive application of the decision is viable because market participants had notice through the June 15 Draft Decision that the CPUC might have suspended direct access as of July 1.  The fact that customers may have had notice of a possible date for the suspension of direct access is not relevant to the constitutional question.  Until the CPUC takes formal action to suspend direct access, the law enabling customers to enter into direct access contracts remains in full force and effect and those contracts are valid.  Therefore, a retroactive application of the CPUC’s decision would impair these valid contracts.  </w:t>
      </w:r>
    </w:p>
    <w:p>
      <w:pPr>
        <w:pStyle w:val="BodyText"/>
        <w:ind w:firstLine="1440" w:end="0"/>
        <w:jc w:val="both"/>
        <w:rPr/>
      </w:pPr>
      <w:r>
        <w:rPr/>
        <w:t>Further, AB1X does not require a retroactive application of the CPUC’s decision.  The law clearly gives the CPUC the discretion to determine an appropriate date for the suspension of direct access.  Obviously, the CPUC must exercise this discretion within the boundaries of existing laws, including the United States Constitution.</w:t>
      </w:r>
    </w:p>
    <w:p>
      <w:pPr>
        <w:pStyle w:val="BodyText"/>
        <w:spacing w:lineRule="auto" w:line="240"/>
        <w:ind w:hanging="720" w:start="1440" w:end="0"/>
        <w:jc w:val="both"/>
        <w:rPr>
          <w:b/>
        </w:rPr>
      </w:pPr>
      <w:r>
        <w:rPr>
          <w:b/>
        </w:rPr>
        <w:t>B.</w:t>
        <w:tab/>
        <w:t>The Draft Decision Must Be Clarified to Protect the Rights of Existing Direct Access Customers.</w:t>
      </w:r>
    </w:p>
    <w:p>
      <w:pPr>
        <w:pStyle w:val="BodyText"/>
        <w:spacing w:lineRule="auto" w:line="240"/>
        <w:ind w:start="720" w:end="0"/>
        <w:jc w:val="both"/>
        <w:rPr>
          <w:b/>
        </w:rPr>
      </w:pPr>
      <w:r>
        <w:rPr>
          <w:b/>
        </w:rPr>
      </w:r>
    </w:p>
    <w:p>
      <w:pPr>
        <w:pStyle w:val="BodyText"/>
        <w:ind w:firstLine="1440" w:end="0"/>
        <w:jc w:val="both"/>
        <w:rPr>
          <w:b/>
        </w:rPr>
      </w:pPr>
      <w:r>
        <w:rPr/>
        <w:t>The Barnett DD provides that “written contracts executed prior to July 1, 2001 should be exempt from the suspension for the initial term of the contracts.”  This language is unduly restrictive in that it would interfere with customer’s existing contractual rights to extend the terms of the contracts.  In addition, existing direct access customers should be allowed to change suppliers and enter into new contracts with energy service providers as long as they remain on direct access at all times.  The Barnett DD should be amended to provide that all direct access customers as of the date of the CPUC’s decision should be allowed to remain on direct access.</w:t>
      </w:r>
    </w:p>
    <w:p>
      <w:pPr>
        <w:pStyle w:val="BodyText"/>
        <w:jc w:val="both"/>
        <w:rPr>
          <w:b/>
        </w:rPr>
      </w:pPr>
      <w:r>
        <w:rPr>
          <w:b/>
        </w:rPr>
        <w:t>//</w:t>
      </w:r>
    </w:p>
    <w:p>
      <w:pPr>
        <w:pStyle w:val="BodyText"/>
        <w:jc w:val="both"/>
        <w:rPr>
          <w:b/>
        </w:rPr>
      </w:pPr>
      <w:r>
        <w:rPr>
          <w:b/>
        </w:rPr>
        <w:t>//</w:t>
      </w:r>
    </w:p>
    <w:p>
      <w:pPr>
        <w:pStyle w:val="BodyText"/>
        <w:jc w:val="both"/>
        <w:rPr>
          <w:b/>
        </w:rPr>
      </w:pPr>
      <w:r>
        <w:rPr>
          <w:b/>
        </w:rPr>
        <w:t>//</w:t>
      </w:r>
    </w:p>
    <w:p>
      <w:pPr>
        <w:pStyle w:val="BodyText"/>
        <w:jc w:val="both"/>
        <w:rPr>
          <w:b/>
        </w:rPr>
      </w:pPr>
      <w:r>
        <w:rPr>
          <w:b/>
        </w:rPr>
        <w:t>//</w:t>
      </w:r>
    </w:p>
    <w:p>
      <w:pPr>
        <w:pStyle w:val="BodyText"/>
        <w:jc w:val="both"/>
        <w:rPr>
          <w:b/>
        </w:rPr>
      </w:pPr>
      <w:r>
        <w:rPr>
          <w:b/>
        </w:rPr>
        <w:t>//</w:t>
      </w:r>
    </w:p>
    <w:p>
      <w:pPr>
        <w:pStyle w:val="BodyText"/>
        <w:jc w:val="both"/>
        <w:rPr>
          <w:b/>
        </w:rPr>
      </w:pPr>
      <w:r>
        <w:rPr>
          <w:b/>
        </w:rPr>
        <w:t>//</w:t>
      </w:r>
    </w:p>
    <w:p>
      <w:pPr>
        <w:pStyle w:val="BodyText"/>
        <w:jc w:val="both"/>
        <w:rPr>
          <w:b/>
        </w:rPr>
      </w:pPr>
      <w:r>
        <w:rPr>
          <w:b/>
        </w:rPr>
        <w:t>//</w:t>
      </w:r>
    </w:p>
    <w:p>
      <w:pPr>
        <w:pStyle w:val="BodyText"/>
        <w:jc w:val="both"/>
        <w:rPr>
          <w:b/>
        </w:rPr>
      </w:pPr>
      <w:r>
        <w:rPr>
          <w:b/>
        </w:rPr>
        <w:t>IV.</w:t>
        <w:tab/>
        <w:t>CONCLUSION.</w:t>
      </w:r>
    </w:p>
    <w:p>
      <w:pPr>
        <w:pStyle w:val="BodyTextIndent"/>
        <w:ind w:firstLine="720" w:start="0" w:end="0"/>
        <w:jc w:val="both"/>
        <w:rPr/>
      </w:pPr>
      <w:r>
        <w:rPr/>
        <w:t xml:space="preserve">For all the foregoing reasons, UC/CSU urge adoption of the Bilas Alternate Decision.  Alternatively, UC/CSU urge the CPUC to preserve direct access service as an option for consumers with current direct access contracts.  UC/CSU strongly urge the Commission not attempt to abrogate existing contracts, thereby ensuing lawsuits that will cause further confusion in the energy markets. </w:t>
      </w:r>
    </w:p>
    <w:p>
      <w:pPr>
        <w:pStyle w:val="BodyTextIndent"/>
        <w:spacing w:lineRule="auto" w:line="240"/>
        <w:jc w:val="both"/>
        <w:rPr/>
      </w:pPr>
      <w:r>
        <w:rPr/>
      </w:r>
    </w:p>
    <w:p>
      <w:pPr>
        <w:pStyle w:val="BodyTextIndent"/>
        <w:spacing w:lineRule="auto" w:line="240"/>
        <w:jc w:val="both"/>
        <w:rPr/>
      </w:pPr>
      <w:r>
        <w:rPr/>
        <w:tab/>
        <w:tab/>
        <w:tab/>
        <w:tab/>
        <w:tab/>
        <w:tab/>
        <w:t>Respectfully submitted,</w:t>
      </w:r>
    </w:p>
    <w:p>
      <w:pPr>
        <w:pStyle w:val="BodyTextIndent"/>
        <w:spacing w:lineRule="auto" w:line="240"/>
        <w:jc w:val="both"/>
        <w:rPr/>
      </w:pPr>
      <w:r>
        <w:rPr/>
      </w:r>
    </w:p>
    <w:p>
      <w:pPr>
        <w:pStyle w:val="BodyTextIndent"/>
        <w:spacing w:lineRule="auto" w:line="240"/>
        <w:jc w:val="both"/>
        <w:rPr/>
      </w:pPr>
      <w:r>
        <w:rPr/>
      </w:r>
    </w:p>
    <w:p>
      <w:pPr>
        <w:pStyle w:val="BodyTextIndent"/>
        <w:spacing w:lineRule="auto" w:line="240"/>
        <w:jc w:val="both"/>
        <w:rPr/>
      </w:pPr>
      <w:r>
        <w:rPr/>
      </w:r>
    </w:p>
    <w:p>
      <w:pPr>
        <w:pStyle w:val="BodyTextIndent"/>
        <w:spacing w:lineRule="auto" w:line="240"/>
        <w:jc w:val="both"/>
        <w:rPr/>
      </w:pPr>
      <w:r>
        <w:rPr/>
        <w:tab/>
        <w:tab/>
        <w:tab/>
        <w:tab/>
        <w:tab/>
        <w:tab/>
        <w:t>By:</w:t>
        <w:tab/>
        <w:t>____________________________</w:t>
      </w:r>
    </w:p>
    <w:p>
      <w:pPr>
        <w:pStyle w:val="BodyTextIndent"/>
        <w:spacing w:lineRule="auto" w:line="240"/>
        <w:ind w:firstLine="360" w:end="0"/>
        <w:jc w:val="both"/>
        <w:rPr/>
      </w:pPr>
      <w:r>
        <w:rPr/>
        <w:tab/>
        <w:tab/>
        <w:tab/>
        <w:tab/>
        <w:tab/>
        <w:tab/>
        <w:tab/>
        <w:t xml:space="preserve">Kelly R. Tilton </w:t>
      </w:r>
    </w:p>
    <w:p>
      <w:pPr>
        <w:pStyle w:val="BodyTextIndent"/>
        <w:spacing w:lineRule="auto" w:line="240"/>
        <w:jc w:val="both"/>
        <w:rPr/>
      </w:pPr>
      <w:r>
        <w:rPr/>
      </w:r>
    </w:p>
    <w:p>
      <w:pPr>
        <w:pStyle w:val="BodyTextIndent"/>
        <w:spacing w:lineRule="auto" w:line="240"/>
        <w:jc w:val="both"/>
        <w:rPr/>
      </w:pPr>
      <w:r>
        <w:rPr/>
        <w:tab/>
        <w:tab/>
        <w:tab/>
        <w:tab/>
        <w:tab/>
        <w:tab/>
        <w:t>Irene K. Moosen, J.D.</w:t>
      </w:r>
    </w:p>
    <w:p>
      <w:pPr>
        <w:pStyle w:val="BodyTextIndent"/>
        <w:spacing w:lineRule="auto" w:line="240"/>
        <w:jc w:val="both"/>
        <w:rPr/>
      </w:pPr>
      <w:r>
        <w:rPr/>
        <w:tab/>
        <w:tab/>
        <w:tab/>
        <w:tab/>
        <w:tab/>
        <w:tab/>
        <w:t>Kelly R. Tilton, J.D.</w:t>
      </w:r>
    </w:p>
    <w:p>
      <w:pPr>
        <w:pStyle w:val="BodyTextIndent"/>
        <w:spacing w:lineRule="auto" w:line="240"/>
        <w:jc w:val="both"/>
        <w:rPr/>
      </w:pPr>
      <w:r>
        <w:rPr/>
        <w:tab/>
        <w:tab/>
        <w:tab/>
        <w:tab/>
        <w:tab/>
        <w:tab/>
        <w:t>GRUENEICH RESOURCE ADVOCATES</w:t>
      </w:r>
    </w:p>
    <w:p>
      <w:pPr>
        <w:pStyle w:val="BodyTextIndent"/>
        <w:spacing w:lineRule="auto" w:line="240"/>
        <w:jc w:val="both"/>
        <w:rPr/>
      </w:pPr>
      <w:r>
        <w:rPr/>
        <w:tab/>
        <w:tab/>
        <w:tab/>
        <w:tab/>
        <w:tab/>
        <w:tab/>
        <w:t>582 Market Street, Suite 1020</w:t>
      </w:r>
    </w:p>
    <w:p>
      <w:pPr>
        <w:pStyle w:val="BodyTextIndent"/>
        <w:spacing w:lineRule="auto" w:line="240"/>
        <w:jc w:val="both"/>
        <w:rPr/>
      </w:pPr>
      <w:r>
        <w:rPr/>
        <w:tab/>
        <w:tab/>
        <w:tab/>
        <w:tab/>
        <w:tab/>
        <w:tab/>
        <w:t>San Francisco, CA  94102</w:t>
      </w:r>
    </w:p>
    <w:p>
      <w:pPr>
        <w:pStyle w:val="BodyTextIndent"/>
        <w:spacing w:lineRule="auto" w:line="240"/>
        <w:jc w:val="both"/>
        <w:rPr/>
      </w:pPr>
      <w:r>
        <w:rPr/>
        <w:t xml:space="preserve"> </w:t>
      </w:r>
      <w:r>
        <w:rPr/>
        <w:tab/>
        <w:tab/>
        <w:tab/>
        <w:tab/>
        <w:tab/>
        <w:tab/>
        <w:t>Telephone:</w:t>
        <w:tab/>
        <w:t>(415) 834-2300</w:t>
      </w:r>
    </w:p>
    <w:p>
      <w:pPr>
        <w:pStyle w:val="BodyTextIndent"/>
        <w:spacing w:lineRule="auto" w:line="240"/>
        <w:jc w:val="both"/>
        <w:rPr/>
      </w:pPr>
      <w:r>
        <w:rPr/>
        <w:tab/>
        <w:tab/>
        <w:tab/>
        <w:tab/>
        <w:tab/>
        <w:tab/>
        <w:t>Facsimile:</w:t>
        <w:tab/>
        <w:t>(415) 834-2310</w:t>
        <w:tab/>
      </w:r>
    </w:p>
    <w:p>
      <w:pPr>
        <w:pStyle w:val="BodyTextIndent"/>
        <w:spacing w:lineRule="auto" w:line="240"/>
        <w:jc w:val="both"/>
        <w:rPr/>
      </w:pPr>
      <w:r>
        <w:rPr/>
        <w:tab/>
        <w:tab/>
        <w:tab/>
        <w:tab/>
        <w:tab/>
        <w:tab/>
        <w:t>E-Mail:</w:t>
        <w:tab/>
        <w:t>dgrueneich@gralegal.com</w:t>
      </w:r>
    </w:p>
    <w:p>
      <w:pPr>
        <w:pStyle w:val="BodyTextIndent"/>
        <w:spacing w:lineRule="auto" w:line="240"/>
        <w:jc w:val="both"/>
        <w:rPr/>
      </w:pPr>
      <w:r>
        <w:rPr/>
        <w:tab/>
        <w:tab/>
        <w:tab/>
        <w:tab/>
        <w:tab/>
        <w:tab/>
        <w:tab/>
        <w:tab/>
        <w:t>ktilton@gralegal.com</w:t>
      </w:r>
    </w:p>
    <w:p>
      <w:pPr>
        <w:pStyle w:val="BodyTextIndent"/>
        <w:spacing w:lineRule="auto" w:line="240"/>
        <w:jc w:val="both"/>
        <w:rPr/>
      </w:pPr>
      <w:r>
        <w:rPr/>
        <w:tab/>
        <w:tab/>
        <w:tab/>
        <w:tab/>
        <w:tab/>
        <w:tab/>
        <w:t>Attorneys for</w:t>
      </w:r>
    </w:p>
    <w:p>
      <w:pPr>
        <w:pStyle w:val="BodyTextIndent"/>
        <w:spacing w:lineRule="auto" w:line="240"/>
        <w:jc w:val="both"/>
        <w:rPr/>
      </w:pPr>
      <w:r>
        <w:rPr/>
        <w:tab/>
        <w:tab/>
        <w:tab/>
        <w:tab/>
        <w:tab/>
        <w:tab/>
        <w:t>UNIVERSITY OF CALIFORNIA and</w:t>
      </w:r>
    </w:p>
    <w:p>
      <w:pPr>
        <w:pStyle w:val="BodyTextIndent"/>
        <w:spacing w:lineRule="auto" w:line="240"/>
        <w:ind w:start="0" w:end="0"/>
        <w:jc w:val="both"/>
        <w:rPr/>
      </w:pPr>
      <w:r>
        <w:rPr/>
        <w:t>August 31, 2001</w:t>
        <w:tab/>
        <w:tab/>
        <w:tab/>
        <w:tab/>
        <w:t>CALIFORNIA STATE UNIVERSITY</w:t>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ind w:start="0" w:end="0"/>
        <w:jc w:val="both"/>
        <w:rPr/>
      </w:pPr>
      <w:r>
        <w:rPr/>
      </w:r>
    </w:p>
    <w:p>
      <w:pPr>
        <w:pStyle w:val="BodyTextIndent"/>
        <w:spacing w:lineRule="auto" w:line="240"/>
        <w:jc w:val="both"/>
        <w:rPr>
          <w:sz w:val="16"/>
        </w:rPr>
      </w:pPr>
      <w:r>
        <w:rPr/>
        <w:tab/>
        <w:tab/>
        <w:tab/>
        <w:tab/>
        <w:tab/>
        <w:tab/>
        <w:tab/>
        <w:tab/>
      </w:r>
    </w:p>
    <w:p>
      <w:pPr>
        <w:pStyle w:val="BodyText"/>
        <w:rPr>
          <w:sz w:val="16"/>
        </w:rPr>
      </w:pPr>
      <w:r>
        <w:rPr>
          <w:sz w:val="16"/>
        </w:rPr>
        <w:fldChar w:fldCharType="begin"/>
      </w:r>
      <w:r>
        <w:rPr>
          <w:sz w:val="16"/>
        </w:rPr>
        <w:instrText xml:space="preserve"> FILENAME \p </w:instrText>
      </w:r>
      <w:r>
        <w:rPr>
          <w:sz w:val="16"/>
        </w:rPr>
        <w:fldChar w:fldCharType="separate"/>
      </w:r>
      <w:r>
        <w:rPr>
          <w:sz w:val="16"/>
        </w:rPr>
        <w:t>/mnt/main-storage/datasets/enron-docs/doc/08_31_01_UC_CSU_Comments_on_DA_Suspension.doc</w:t>
      </w:r>
      <w:r>
        <w:rPr>
          <w:sz w:val="16"/>
        </w:rPr>
        <w:fldChar w:fldCharType="end"/>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spacing w:lineRule="auto" w:line="480"/>
      <w:ind w:hanging="0" w:start="720" w:end="-720"/>
      <w:outlineLvl w:val="1"/>
    </w:pPr>
    <w:rPr>
      <w:b/>
      <w:sz w:val="24"/>
    </w:rPr>
  </w:style>
  <w:style w:type="paragraph" w:styleId="Heading3">
    <w:name w:val="heading 3"/>
    <w:basedOn w:val="Normal"/>
    <w:next w:val="Normal"/>
    <w:qFormat/>
    <w:pPr>
      <w:keepNext w:val="true"/>
      <w:numPr>
        <w:ilvl w:val="2"/>
        <w:numId w:val="1"/>
      </w:numPr>
      <w:spacing w:lineRule="auto" w:line="480"/>
      <w:ind w:firstLine="720" w:start="0" w:end="0"/>
      <w:outlineLvl w:val="2"/>
    </w:pPr>
    <w:rPr>
      <w:b/>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360" w:end="0"/>
    </w:pPr>
    <w:rPr>
      <w:sz w:val="24"/>
    </w:rPr>
  </w:style>
  <w:style w:type="paragraph" w:styleId="FootnoteText">
    <w:name w:val="footnote text"/>
    <w:basedOn w:val="Normal"/>
    <w:pPr/>
    <w:rPr>
      <w:sz w:val="20"/>
    </w:rPr>
  </w:style>
  <w:style w:type="paragraph" w:styleId="BodyTextIndent2">
    <w:name w:val="Body Text Indent 2"/>
    <w:basedOn w:val="Normal"/>
    <w:qFormat/>
    <w:pPr>
      <w:ind w:hanging="720" w:start="720" w:end="0"/>
    </w:pPr>
    <w:rPr>
      <w:b/>
      <w:sz w:val="24"/>
    </w:rPr>
  </w:style>
  <w:style w:type="paragraph" w:styleId="BodyTextIndent3">
    <w:name w:val="Body Text Indent 3"/>
    <w:basedOn w:val="Normal"/>
    <w:qFormat/>
    <w:pPr>
      <w:spacing w:lineRule="auto" w:line="480"/>
      <w:ind w:firstLine="1440" w:start="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2001-08-30T16:58:00Z</dcterms:created>
  <dc:creator>Theresa Cho</dc:creator>
  <dc:description/>
  <dc:language>en-CA</dc:language>
  <cp:lastModifiedBy>Admin</cp:lastModifiedBy>
  <cp:lastPrinted>2001-08-31T12:09:00Z</cp:lastPrinted>
  <dcterms:modified xsi:type="dcterms:W3CDTF">2001-08-31T17:08:00Z</dcterms:modified>
  <cp:revision>22</cp:revision>
  <dc:subject/>
  <dc:title>I</dc:title>
</cp:coreProperties>
</file>