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06/07/2001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0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Australia and New Zealand Banking group Ltd</w:t>
            </w:r>
            <w:r>
              <w:rPr>
                <w:b/>
                <w:bCs/>
                <w:sz w:val="22"/>
                <w:szCs w:val="22"/>
              </w:rPr>
              <w:t>.,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not apply to Party A and to Party B and to any Credit Support Provider or Specified Entity of Party A or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color w:val="FF0000"/>
          <w:sz w:val="22"/>
          <w:szCs w:val="22"/>
        </w:rPr>
      </w:pP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sz w:val="22"/>
          <w:szCs w:val="22"/>
        </w:rPr>
      </w:pPr>
      <w:r>
        <w:rPr>
          <w:sz w:val="22"/>
          <w:szCs w:val="22"/>
        </w:rPr>
        <w:t>(ix)</w:t>
        <w:tab/>
        <w:t xml:space="preserve">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rated below "BBB+" by S&amp;P or it has no Credit Rating from S&amp;P; </w:t>
      </w:r>
      <w:r>
        <w:rPr>
          <w:sz w:val="22"/>
          <w:szCs w:val="22"/>
          <w:u w:val="single"/>
        </w:rPr>
        <w:t>provided</w:t>
      </w:r>
      <w:r>
        <w:rPr>
          <w:sz w:val="22"/>
          <w:szCs w:val="22"/>
        </w:rPr>
        <w:t xml:space="preserve">, </w:t>
      </w:r>
      <w:r>
        <w:rPr>
          <w:sz w:val="22"/>
          <w:szCs w:val="22"/>
          <w:u w:val="single"/>
        </w:rPr>
        <w:t>however</w:t>
      </w:r>
      <w:r>
        <w:rPr>
          <w:sz w:val="22"/>
          <w:szCs w:val="22"/>
        </w:rPr>
        <w: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collateral in an amount satisfactory to Z in its sole discretion.</w:t>
      </w:r>
      <w:r>
        <w:rPr>
          <w:rStyle w:val="FootnoteCharacters"/>
        </w:rPr>
        <w:t xml:space="preserve"> </w:t>
      </w:r>
      <w:r>
        <w:rPr/>
        <w:t xml:space="preserve"> </w:t>
      </w:r>
    </w:p>
    <w:p>
      <w:pPr>
        <w:pStyle w:val="Normal"/>
        <w:spacing w:lineRule="exact" w:line="240" w:before="240" w:after="0"/>
        <w:ind w:firstLine="720" w:end="0"/>
        <w:jc w:val="both"/>
        <w:rPr/>
      </w:pPr>
      <w:r>
        <w:rPr>
          <w:sz w:val="22"/>
          <w:szCs w:val="22"/>
        </w:rPr>
        <w:t xml:space="preserve"> </w:t>
      </w: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17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___________________</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__________________________.</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start="720" w:end="720"/>
        <w:jc w:val="both"/>
        <w:rPr>
          <w:sz w:val="22"/>
          <w:szCs w:val="22"/>
        </w:rPr>
      </w:pPr>
      <w:r>
        <w:rPr>
          <w:sz w:val="22"/>
          <w:szCs w:val="22"/>
        </w:rPr>
        <w:t>Party B agrees to complete (accurately and in a manner reasonably satisfactory to Party A), execute, and deliver to Party A a United States Internal Revenue Service Form W</w:t>
        <w:softHyphen/>
        <w: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Australia and New Zealand Banking Group Ltd.</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a Multibranch Party and may act through the preceding Offices ___________________________________________.</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sz w:val="22"/>
          <w:szCs w:val="22"/>
          <w:u w:val="single"/>
        </w:rPr>
        <w:t>Exhibit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________________________ on the date of this Agreement at 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 xml:space="preserve"> </w:t>
      </w: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pPr>
      <w:r>
        <w:rPr>
          <w:sz w:val="22"/>
          <w:szCs w:val="22"/>
        </w:rPr>
        <w:t>(n)</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BodyText"/>
        <w:widowControl/>
        <w:ind w:firstLine="720" w:end="0"/>
        <w:jc w:val="both"/>
        <w:rPr>
          <w:sz w:val="22"/>
          <w:szCs w:val="22"/>
        </w:rPr>
      </w:pPr>
      <w:r>
        <w:rPr>
          <w:sz w:val="22"/>
          <w:szCs w:val="22"/>
        </w:rPr>
      </w:r>
    </w:p>
    <w:p>
      <w:pPr>
        <w:pStyle w:val="BodyText"/>
        <w:widowControl/>
        <w:ind w:firstLine="720" w:end="0"/>
        <w:jc w:val="both"/>
        <w:rPr/>
      </w:pPr>
      <w:r>
        <w:rPr/>
        <w:t>(o)</w:t>
        <w:tab/>
      </w:r>
      <w:r>
        <w:rPr>
          <w:b/>
          <w:bCs/>
        </w:rPr>
        <w:t>European Monetary Union.</w:t>
      </w:r>
      <w:r>
        <w:rPr/>
        <w:t xml:space="preserve">  The provisions of Annexes 1 to 5 (inclusive) of the EMU Protocol, published by ISDA on May 6, 1998, are hereby incorporated in this Agreement.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spacing w:before="240" w:after="0"/>
        <w:ind w:firstLine="720" w:end="0"/>
        <w:jc w:val="both"/>
        <w:rPr>
          <w:sz w:val="22"/>
          <w:szCs w:val="22"/>
        </w:rPr>
      </w:pPr>
      <w:r>
        <w:rPr>
          <w:sz w:val="22"/>
          <w:szCs w:val="22"/>
        </w:rPr>
      </w:r>
    </w:p>
    <w:p>
      <w:pPr>
        <w:pStyle w:val="Normal"/>
        <w:jc w:val="both"/>
        <w:rPr>
          <w:sz w:val="22"/>
          <w:szCs w:val="22"/>
        </w:rPr>
      </w:pP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AUSTRALIA AND NEW ZEALAND BANKING GROUP LTD.</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AUSTRALIA AND NEW ZEALAND BANKING GROUP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rPr>
      </w:pPr>
      <w:r>
        <w:rPr>
          <w:b/>
          <w:bCs/>
          <w:sz w:val="22"/>
          <w:szCs w:val="22"/>
        </w:rPr>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February ______,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Australia and New Zealand Banking Group LTD.</w:t>
      </w:r>
      <w:r>
        <w:rPr>
          <w:sz w:val="22"/>
          <w:szCs w:val="22"/>
        </w:rPr>
        <w:t xml:space="preserve">, a </w:t>
      </w:r>
      <w:r>
        <w:rPr>
          <w:sz w:val="22"/>
          <w:szCs w:val="22"/>
          <w:u w:val="single"/>
        </w:rPr>
        <w:tab/>
        <w:tab/>
        <w:tab/>
      </w:r>
      <w:r>
        <w:rPr>
          <w:sz w:val="22"/>
          <w:szCs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$30,000,000.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Australia and New Zealand Banking Group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February 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p>
      <w:pPr>
        <w:pStyle w:val="Normal"/>
        <w:spacing w:lineRule="exact" w:line="240"/>
        <w:ind w:end="720"/>
        <w:rPr/>
      </w:pPr>
      <w:r>
        <w:rPr/>
      </w:r>
    </w:p>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/mnt/main-storage/datasets/enron-docs/doc/088A_ctr__Australia_and_New_Zealand_Banking_.doc</w:t>
    </w:r>
    <w:r>
      <w:rPr>
        <w:rStyle w:val="PageNumber"/>
        <w:sz w:val="16"/>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/mnt/main-storage/datasets/enron-docs/doc/088A_ctr__Australia_and_New_Zealand_Banking_.doc</w:t>
    </w:r>
    <w:r>
      <w:rPr>
        <w:sz w:val="16"/>
      </w:rPr>
      <w:fldChar w:fldCharType="end"/>
    </w:r>
  </w:p>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2001-02-27T15:21:00Z</dcterms:created>
  <dc:creator>mheard</dc:creator>
  <dc:description/>
  <dc:language>en-CA</dc:language>
  <cp:lastModifiedBy>sbaile2</cp:lastModifiedBy>
  <cp:lastPrinted>2001-07-02T14:06:00Z</cp:lastPrinted>
  <dcterms:modified xsi:type="dcterms:W3CDTF">2001-07-02T16:37:00Z</dcterms:modified>
  <cp:revision>11</cp:revision>
  <dc:subject/>
  <dc:title>ISDA Multicurrency Agreement</dc:title>
</cp:coreProperties>
</file>