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u w:val="single"/>
        </w:rPr>
      </w:pPr>
      <w:r>
        <w:rPr>
          <w:b/>
          <w:sz w:val="24"/>
          <w:u w:val="single"/>
        </w:rPr>
      </w:r>
    </w:p>
    <w:p>
      <w:pPr>
        <w:pStyle w:val="Normal"/>
        <w:rPr>
          <w:rFonts w:ascii="Arial" w:hAnsi="Arial" w:cs="Arial"/>
          <w:b/>
          <w:sz w:val="22"/>
          <w:u w:val="single"/>
        </w:rPr>
      </w:pPr>
      <w:r>
        <w:rPr>
          <w:rFonts w:cs="Arial" w:ascii="Arial" w:hAnsi="Arial"/>
          <w:b/>
          <w:sz w:val="22"/>
          <w:u w:val="single"/>
        </w:rPr>
        <w:t>Red Rock Expansion</w:t>
      </w:r>
    </w:p>
    <w:p>
      <w:pPr>
        <w:pStyle w:val="BodyText"/>
        <w:rPr/>
      </w:pPr>
      <w:r>
        <w:rPr/>
        <w:t>We are very close to finalizing a deal on the last remaining space of the Red Rock Expansion.  We are in discussions with Duke on the remaining 43,300 MMBtu/d of capacity for 5 years at $0.26/MMBtu.</w:t>
      </w:r>
    </w:p>
    <w:p>
      <w:pPr>
        <w:pStyle w:val="Normal"/>
        <w:rPr>
          <w:b/>
          <w:sz w:val="24"/>
          <w:u w:val="single"/>
        </w:rPr>
      </w:pPr>
      <w:r>
        <w:rPr>
          <w:b/>
          <w:sz w:val="24"/>
          <w:u w:val="single"/>
        </w:rPr>
      </w:r>
    </w:p>
    <w:p>
      <w:pPr>
        <w:pStyle w:val="BodyText"/>
        <w:rPr>
          <w:b/>
          <w:bCs/>
          <w:u w:val="single"/>
        </w:rPr>
      </w:pPr>
      <w:r>
        <w:rPr>
          <w:b/>
          <w:bCs/>
          <w:u w:val="single"/>
        </w:rPr>
        <w:t>Sun Devil Expansion</w:t>
      </w:r>
    </w:p>
    <w:p>
      <w:pPr>
        <w:pStyle w:val="BodyText"/>
        <w:rPr/>
      </w:pPr>
      <w:r>
        <w:rPr/>
        <w:t xml:space="preserve">We received the first binding bid for the Sun Devil Expansion from Western Gas Resources for capacity on the San Juan lateral only. The bid is for 10,000/day at $0.09 for 13.5 years, generating $4.4 million in revenues. Western desires to have an additional supply choice to compliment their Red Rock capacity. </w:t>
      </w:r>
    </w:p>
    <w:p>
      <w:pPr>
        <w:pStyle w:val="Normal"/>
        <w:rPr>
          <w:sz w:val="24"/>
        </w:rPr>
      </w:pPr>
      <w:r>
        <w:rPr>
          <w:sz w:val="24"/>
        </w:rPr>
      </w:r>
    </w:p>
    <w:p>
      <w:pPr>
        <w:pStyle w:val="Heading1"/>
        <w:ind w:hanging="0" w:start="0"/>
        <w:rPr>
          <w:rFonts w:ascii="Arial" w:hAnsi="Arial" w:cs="Arial"/>
          <w:b/>
          <w:bCs/>
          <w:sz w:val="22"/>
          <w:u w:val="single"/>
        </w:rPr>
      </w:pPr>
      <w:r>
        <w:rPr>
          <w:rFonts w:cs="Arial" w:ascii="Arial" w:hAnsi="Arial"/>
          <w:b/>
          <w:bCs/>
          <w:sz w:val="22"/>
          <w:u w:val="single"/>
        </w:rPr>
        <w:t>TransPecos Project</w:t>
      </w:r>
    </w:p>
    <w:p>
      <w:pPr>
        <w:pStyle w:val="BodyText"/>
        <w:rPr/>
      </w:pPr>
      <w:r>
        <w:rPr/>
        <w:t xml:space="preserve">We continue to stay in contact with Pemex regarding their comments on the Letter of Intent tendered by Enron and Kinder Morgan on July 3 for the proposed 250,000 MMBtu/d pipeline.  We expect to receive feedback from Pemex on the rate tendered for the proposed project very soon.  We will communicate their feedback as soon as it is received.  </w:t>
      </w:r>
    </w:p>
    <w:p>
      <w:pPr>
        <w:pStyle w:val="BodyText"/>
        <w:rPr/>
      </w:pPr>
      <w:r>
        <w:rPr/>
      </w:r>
    </w:p>
    <w:p>
      <w:pPr>
        <w:pStyle w:val="BodyText"/>
        <w:rPr>
          <w:b/>
          <w:u w:val="single"/>
        </w:rPr>
      </w:pPr>
      <w:r>
        <w:rPr>
          <w:b/>
          <w:u w:val="single"/>
        </w:rPr>
        <w:t>Questar Pipeline</w:t>
      </w:r>
    </w:p>
    <w:p>
      <w:pPr>
        <w:pStyle w:val="BodyText"/>
        <w:rPr/>
      </w:pPr>
      <w:r>
        <w:rPr/>
        <w:t>A meeting was held with Questar to discuss connecting the East Leg of Southern Trails Pipeline into the Blanco Hub.  Facility Planning will be running models of the San Juan Hub under various scenarios to determine the impact of the proposed interconnect.  Once the impact has been determined we will complete negotiations of the interconnect agreement.  Discussions were also held with Questar regarding additional information on the conversion costs for the West Leg of Southern Trails.  We will model the West Leg to verify the physical operational capabilities of the pipe and evaluate the viability of the markets it can serve to determine its acquisition value.</w:t>
      </w:r>
    </w:p>
    <w:p>
      <w:pPr>
        <w:pStyle w:val="BodyText"/>
        <w:rPr/>
      </w:pPr>
      <w:r>
        <w:rPr/>
      </w:r>
    </w:p>
    <w:p>
      <w:pPr>
        <w:pStyle w:val="BodyText"/>
        <w:rPr>
          <w:b/>
          <w:u w:val="single"/>
        </w:rPr>
      </w:pPr>
      <w:r>
        <w:rPr>
          <w:b/>
          <w:u w:val="single"/>
        </w:rPr>
        <w:t>Current Week Daily Activity</w:t>
      </w:r>
    </w:p>
    <w:p>
      <w:pPr>
        <w:pStyle w:val="BodyText"/>
        <w:numPr>
          <w:ilvl w:val="0"/>
          <w:numId w:val="2"/>
        </w:numPr>
        <w:rPr/>
      </w:pPr>
      <w:r>
        <w:rPr/>
        <w:t xml:space="preserve">The Gallup compressor went down on Sunday afternoon, August 19.  We have been allocating the San Juan Lateral and the California Border by 50,000 MMBtu/d and 80,000 MMBtu/d respectively since August 20.  It has impacted revenues by $12,000/day for a total of $60,000 as of August 24.  It has not yet been determined when the unit will be repaired and back on line.  </w:t>
      </w:r>
    </w:p>
    <w:p>
      <w:pPr>
        <w:pStyle w:val="BodyText"/>
        <w:numPr>
          <w:ilvl w:val="0"/>
          <w:numId w:val="2"/>
        </w:numPr>
        <w:rPr/>
      </w:pPr>
      <w:r>
        <w:rPr/>
        <w:t xml:space="preserve">Sempra has matched the 30,000 MMBtu/d of posted Ignacio to Blanco ROFR firm capacity at max rate.  The capacity is for Calendar 2002 and will generate $1.2 million in revenues. </w:t>
      </w:r>
    </w:p>
    <w:p>
      <w:pPr>
        <w:pStyle w:val="BodyText"/>
        <w:numPr>
          <w:ilvl w:val="0"/>
          <w:numId w:val="2"/>
        </w:numPr>
        <w:rPr>
          <w:color w:val="000000"/>
        </w:rPr>
      </w:pPr>
      <w:r>
        <w:rPr>
          <w:color w:val="000000"/>
        </w:rPr>
        <w:t xml:space="preserve">Burlington rolled its firm transport agreement from La Maquina to Blanco of 15,000 MMBtu/d for September which will generate $46,000 revenue for the month. </w:t>
      </w:r>
    </w:p>
    <w:p>
      <w:pPr>
        <w:pStyle w:val="BodyText"/>
        <w:numPr>
          <w:ilvl w:val="0"/>
          <w:numId w:val="2"/>
        </w:numPr>
        <w:rPr/>
      </w:pPr>
      <w:r>
        <w:rPr/>
        <w:t xml:space="preserve">The Transwestern/Oneok interconnect became available for service effective August 21, 2001 for up to 200,000 MMBtu/d bi-directional flow. This interconnect is located on the West Texas lateral. </w:t>
        <w:br/>
      </w:r>
    </w:p>
    <w:p>
      <w:pPr>
        <w:pStyle w:val="Normal"/>
        <w:rPr>
          <w:sz w:val="24"/>
        </w:rPr>
      </w:pPr>
      <w:r>
        <w:rPr>
          <w:sz w:val="24"/>
        </w:rPr>
      </w:r>
    </w:p>
    <w:sectPr>
      <w:headerReference w:type="default" r:id="rId2"/>
      <w:type w:val="nextPage"/>
      <w:pgSz w:w="12240" w:h="15840"/>
      <w:pgMar w:left="1440" w:right="1440" w:gutter="0" w:header="720" w:top="7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thinThickMediumGap" w:sz="24" w:space="1" w:color="000000" w:shadow="1"/>
        <w:left w:val="thinThickMediumGap" w:sz="24" w:space="4" w:color="000000" w:shadow="1"/>
        <w:bottom w:val="thinThickMediumGap" w:sz="24" w:space="1" w:color="000000" w:shadow="1"/>
        <w:right w:val="thinThickMediumGap" w:sz="24" w:space="4" w:color="000000" w:shadow="1"/>
      </w:pBdr>
      <w:rPr/>
    </w:pPr>
    <w:r>
      <w:rPr/>
      <w:tab/>
      <w:t xml:space="preserve">         </w:t>
    </w:r>
    <w:r>
      <w:rPr/>
      <w:drawing>
        <wp:inline distT="0" distB="0" distL="0" distR="0">
          <wp:extent cx="502285" cy="4762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502285" cy="476250"/>
                  </a:xfrm>
                  <a:prstGeom prst="rect">
                    <a:avLst/>
                  </a:prstGeom>
                  <a:noFill/>
                </pic:spPr>
              </pic:pic>
            </a:graphicData>
          </a:graphic>
        </wp:inline>
      </w:drawing>
    </w:r>
    <w:r>
      <w:rPr/>
      <w:t xml:space="preserve">                                                       </w:t>
    </w:r>
    <w:r>
      <w:rPr>
        <w:b/>
        <w:sz w:val="32"/>
      </w:rPr>
      <w:t>Transwestern Commercial Group</w:t>
    </w:r>
  </w:p>
  <w:p>
    <w:pPr>
      <w:pStyle w:val="Header"/>
      <w:pBdr>
        <w:top w:val="thinThickMediumGap" w:sz="24" w:space="1" w:color="000000" w:shadow="1"/>
        <w:left w:val="thinThickMediumGap" w:sz="24" w:space="4" w:color="000000" w:shadow="1"/>
        <w:bottom w:val="thinThickMediumGap" w:sz="24" w:space="1" w:color="000000" w:shadow="1"/>
        <w:right w:val="thinThickMediumGap" w:sz="24" w:space="4" w:color="000000" w:shadow="1"/>
      </w:pBdr>
      <w:rPr/>
    </w:pPr>
    <w:r>
      <w:rPr>
        <w:b/>
        <w:sz w:val="22"/>
      </w:rPr>
      <w:t>Enron Transportation Services</w:t>
    </w:r>
    <w:r>
      <w:rPr>
        <w:b/>
        <w:sz w:val="32"/>
      </w:rPr>
      <w:tab/>
      <w:tab/>
      <w:t>Weekly Bullets</w:t>
    </w:r>
  </w:p>
  <w:p>
    <w:pPr>
      <w:pStyle w:val="Header"/>
      <w:pBdr>
        <w:top w:val="thinThickMediumGap" w:sz="24" w:space="1" w:color="000000" w:shadow="1"/>
        <w:left w:val="thinThickMediumGap" w:sz="24" w:space="4" w:color="000000" w:shadow="1"/>
        <w:bottom w:val="thinThickMediumGap" w:sz="24" w:space="1" w:color="000000" w:shadow="1"/>
        <w:right w:val="thinThickMediumGap" w:sz="24" w:space="4" w:color="000000" w:shadow="1"/>
      </w:pBdr>
      <w:rPr/>
    </w:pPr>
    <w:r>
      <w:rPr>
        <w:b/>
        <w:sz w:val="32"/>
      </w:rPr>
      <w:tab/>
      <w:tab/>
    </w:r>
    <w:r>
      <w:rPr>
        <w:b/>
        <w:sz w:val="32"/>
      </w:rPr>
      <w:fldChar w:fldCharType="begin"/>
    </w:r>
    <w:r>
      <w:rPr>
        <w:sz w:val="32"/>
        <w:b/>
      </w:rPr>
      <w:instrText xml:space="preserve"> DATE \@"MM\/dd\/yy" </w:instrText>
    </w:r>
    <w:r>
      <w:rPr>
        <w:sz w:val="32"/>
        <w:b/>
      </w:rPr>
      <w:fldChar w:fldCharType="separate"/>
    </w:r>
    <w:r>
      <w:rPr>
        <w:sz w:val="32"/>
        <w:b/>
      </w:rPr>
      <w:t>09/28/25</w:t>
    </w:r>
    <w:r>
      <w:rPr>
        <w:sz w:val="32"/>
        <w:b/>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autoSpaceDE w:val="false"/>
      <w:outlineLvl w:val="0"/>
    </w:pPr>
    <w:rPr>
      <w:rFonts w:eastAsia="Arial Unicode MS"/>
      <w:szCs w:val="24"/>
    </w:rPr>
  </w:style>
  <w:style w:type="paragraph" w:styleId="Heading2">
    <w:name w:val="heading 2"/>
    <w:basedOn w:val="Normal"/>
    <w:next w:val="Normal"/>
    <w:qFormat/>
    <w:pPr>
      <w:keepNext w:val="true"/>
      <w:numPr>
        <w:ilvl w:val="1"/>
        <w:numId w:val="1"/>
      </w:numPr>
      <w:outlineLvl w:val="1"/>
    </w:pPr>
    <w:rPr>
      <w:b/>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Arial Unicode MS"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2001-08-24T11:02:00Z</dcterms:created>
  <dc:creator>Enron</dc:creator>
  <dc:description/>
  <dc:language>en-CA</dc:language>
  <cp:lastModifiedBy>arobert</cp:lastModifiedBy>
  <cp:lastPrinted>2001-08-24T10:43:00Z</cp:lastPrinted>
  <dcterms:modified xsi:type="dcterms:W3CDTF">2001-08-24T13:22:00Z</dcterms:modified>
  <cp:revision>5</cp:revision>
  <dc:subject/>
  <dc:title>Red Rock Expansion</dc:title>
</cp:coreProperties>
</file>