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Rollout Plan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BefExec—Before Execution of Purchase Agreement</w:t>
      </w:r>
    </w:p>
    <w:p>
      <w:pPr>
        <w:pStyle w:val="Normal"/>
        <w:rPr>
          <w:sz w:val="20"/>
        </w:rPr>
      </w:pPr>
      <w:r>
        <w:rPr>
          <w:sz w:val="20"/>
        </w:rPr>
        <w:t>AftExec/BefPR—After Execution of Purchase Agreement, but Before Press Release</w:t>
      </w:r>
    </w:p>
    <w:p>
      <w:pPr>
        <w:pStyle w:val="Normal"/>
        <w:rPr>
          <w:sz w:val="20"/>
        </w:rPr>
      </w:pPr>
      <w:r>
        <w:rPr>
          <w:sz w:val="20"/>
        </w:rPr>
        <w:t>DofPR—Date of Press Release</w:t>
      </w:r>
    </w:p>
    <w:p>
      <w:pPr>
        <w:pStyle w:val="Normal"/>
        <w:rPr>
          <w:sz w:val="20"/>
        </w:rPr>
      </w:pPr>
      <w:r>
        <w:rPr>
          <w:sz w:val="20"/>
        </w:rPr>
        <w:t>AftPR—After Press Release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3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1253"/>
        <w:gridCol w:w="2160"/>
        <w:gridCol w:w="1800"/>
        <w:gridCol w:w="5327"/>
      </w:tblGrid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Forum/Contact</w:t>
            </w:r>
          </w:p>
        </w:tc>
        <w:tc>
          <w:tcPr>
            <w:tcW w:w="1253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 of Initial Contact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Meeting Participants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Meeting/Phone</w:t>
            </w:r>
          </w:p>
        </w:tc>
        <w:tc>
          <w:tcPr>
            <w:tcW w:w="5327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Messaging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OPUC Chairman Hemmingway</w:t>
            </w:r>
          </w:p>
        </w:tc>
        <w:tc>
          <w:tcPr>
            <w:tcW w:w="125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10/5-6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BefExec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Peggy Fowler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 Kaufman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Board will be considering a proposal to acquire PGE.    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This acquisition allows PGE and NNG to merge as Oregon companies.  Merger will create a holding company.  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The HoldCo will be financially viable and sound.  HoldCo will be financed with debt and equity.  Debt/equity ratio is ___.  Enron will invest debt and equity, but will only have a passive interest (i.e., less than 5% interest) in HoldCo.     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NNG and PGE will remain above investment grade.  We will hold our ratepayers harmless from any impact of this transaction.   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The transaction is good for Oregon and Oregon ratepayers.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We intend to file this transaction within the next 30 days under ORS 757.511.  We want the opportunity to fully brief the Commission immediately after the filing.    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Comm’r Beyer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10/5-6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BefExec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as above.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Comm’r Smith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10/6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BefExec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Susan Ackerman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Pamela Lesh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as above, and …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Enron’s passive investment allows the transaction to go forward, but does not allow Enron to control either PGE or NNG.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Enron will two positions on the board of directors and, therefore, cannot control the Board. 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Lee Sparling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Lesh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Ackerman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Concurrent with announcement, we will inform OPUC staff of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HoldCo, NNG and PGE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Financing of transaction—including price, debt, and FELINE PRIDEs, Voting share ownership.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Credit rating implications—cost of future capital plans?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Conditions of approval acceptable to NNG.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Discovery process/data room.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Mark Helman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Lesh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Ackerman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Same as above for Sparling. 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Phil Nyegaard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Ackerman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Lesh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as above, for Sparling with discussion of any impacts specific to gas company impact.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ICNU—Ken Cannon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meetings with Lesh, Kaufman, Ackerman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Phone by Dodson and Fowler will be limited to  “we wanted to give you a  “head’s up.”   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This is a good transaction for Oregon, Oregon ratepayers, etc., given economies and preservation of two strong utilities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Structure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Timing of Announcement and offer of follow-up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AftPR, Lesh, Kaufman, and Ackerman will meet and discuss: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Financing of transaction—including price, debt, and FELINE PRIDEs, Voting share ownership by Enron.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HoldCo, NNG and PGE.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Conditions of approval acceptable to NNG.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Rate freeze, PGA and PPA approach.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Implications of financial structure—i.e., impact on capital expansion plan.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rate credits will be discussed.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Commitment to SB 1149 and existing contracts, price commitments, etc.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How will future risk management practices change?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Discovery process/data room.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Push for ICNU’s support.  Thank ICNU for constructive role in Sierra-PGE transaction and positive role played by ICNU’s counsel.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NWIGU—Paula Pyron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meetings with Ackerman, Lesh, Kaufman)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message and approach as ICNU.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CUB—Bob Jenks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Ackerman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Lesh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meetings with Ackerman, Lesh, Kaufman)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Phone discussion will be limited to  “we wanted to give you a  “head’s up.” 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This is a good transaction for Oregon, Oregon ratepayers, etc., given economies and preservation of two strong utilities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Structure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Timing of Announcement and offer of follow-up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AftPR, Lesh, Kaufman, and Ackerman will meet and discuss: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Financing of transaction—including price, debt, and FELINE PRIDEs, Voting share ownership by Enron.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HoldCo, NNG and PGE.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Conditions of approval acceptable to NNG.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Rate freeze, PGA and PPA approach.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Implications of financial structure—i.e., impact on capital expansion plan.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rate credits will be discussed.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Commitment to SB 1149 and existing contracts, price commitments, etc.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How will future risk management practices change?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Discovery process/data room.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Push for CUB’s support.  Thank CUB for constructive role in Sierra-PGE transaction.  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WUTC Chairman Showalter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10/7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Phone discussion will be limited to  “we wanted to give you a  “head’s up.”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PGE.  NNG will not change in Washington.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Financing of transaction—including price, debt, and FELINE PRIDEs, Voting share ownership by Enron.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Management plan for HoldCo, NNG and PGE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How future risk management practices will not change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Comm’r Hemstad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10/7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Phone 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as Chairman of WUTC.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Comm’r Oshie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10/7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as Chairman of WUTC.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Merton Lott, WUTC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Ackerman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The day of the announcement, Sue Ackerman will place a call to Lott to give a “heads up.”  Message will also include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Brief outline of structure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Timing of filing.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AftPR, Ackerman will follow-up with fax of fact sheet or personal visit to brief Lott on transaction.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If WUTC staff wants a more detailed briefing, then Tonkon Torp and counsel for NNG will participate.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Public Counsel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Ackerman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NNG Counsel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The day of the announcement, Sue Ackerman will place a call to Public Counsel to give a “heads up.”  Message will also include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Brief outline of structure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Timing of filing.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AftPR, Ackerman will follow-up with fax of fact sheet or personal visit on transaction.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If WUTC staff wants a more detailed briefing, then Tonkon Torp and counsel for NNG will participate.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OR Governor Kitzhaber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10/7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We will discuss the following: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Transaction is in Oregon’s interest.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Benefits provided to Oregon ratepayers over time.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PGE,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Financing of transaction—including price, debt, and FELINE PRIDEs, Voting share ownership.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HoldCo, NNG and PGE.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Conditions of approval acceptable to NNG.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Rate freeze, PGA and PPA approach.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Impact on credit rating of utilities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rate credits will be discussed.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Commitment to SB 1149.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We want Governor’s express support.  Support is critical to response of credit rating agencies.  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OR Senate Majority Leader Doerfler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We will discuss the following: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Transaction is in Oregon’s interest.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Benefits provided to Oregon ratepayers over time.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PGE,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Financing of transaction—including price, debt, and FELINE PRIDEs, Voting share ownership.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HoldCo, NNG and PGE.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Conditions of approval acceptable to NNG.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Rate freeze, PGA and PPA approach.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Impact on credit rating of utilities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rate credits will be discussed.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Commitment to SB 1149.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 want express support.  Support is critical to response of credit rating agencies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OR House Speaker Simmons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message as Sen. Doerfler.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WA Gov. Locke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We will discuss the following: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Benefits provided to ratepayers over time.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PGE,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Price of transaction.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Non-controlling investment by Enron.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 and NNG.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 want express support.  Support is critical to response of credit rating agencies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Senator Smith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Phone—assuming they are in D.C.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delivery of press packet by D.C. Office and NNG D.C. Representative)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Same message for all Congressional delegation.  We will discuss the following: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Transaction is in Oregon’s interest.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Benefits provided to Oregon ratepayers over time.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PGE,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Financing of transaction—including price, debt, and FELINE PRIDEs, Voting share ownership.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HoldCo, NNG and PGE.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Conditions of approval acceptable to NNG.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Rate freeze, PGA and PPA approach.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Impact on credit rating of utilities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rate credits will be discussed.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Commitment to SB 1149.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 want express support.  Support is critical to response of credit rating agencies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Senator Wyden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Phone—assuming they are in D.C.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delivery of press packet by D.C. Office and NNG D.C. Representative)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as for Sen. Smith.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Cong. Wu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Phone—assuming they are in D.C.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delivery of press packet by D.C. Office and NNG D.C. Representative)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message as Sen. Smith.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Cong. Hooley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Phone—assuming they are in D.C.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delivery of press packet by D.C. Office and NNG D.C. Representative)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message as Sen. Smith.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Cong. Blumenauer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Phone—assuming he is in D.C.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delivery of press packet by D.C. Office and NNG D.C. Representative)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Same message as Sen. Smith.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Cong. Walden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Phone—assuming he is in D.C.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delivery of press packet by D.C. Office and NNG D.C. Representative)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message as Sen. Smith.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Cong. DeFazio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Phone—assuming he is in D.C.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(Follow-up delivery of press packet by D.C. Office and NNG D.C. Representative)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message as Sen. Smith.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Mayor Katz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We will discuss the following: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Transaction is in Portland’s interest. 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Corporate headquarters will be maintained in Portland. 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Benefits provided to Oregon ratepayers over time.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The basic structure of the transaction—HoldCo, NNG, PGE,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Enron participation.  Financing of transaction—including price, debt, and FELINE PRIDEs, Voting share ownership.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Management plan for HoldCo, NNG and PGE.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Procedure for moving forward.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Timing of filing.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 want express support.  Support is critical to response of credit rating agencies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Councilman Sten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10/8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Fowler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Same as message for Mayor Katz.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FERC Chairman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10/7 COB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Rick Shapiro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The day of the announcement, Dodson and Shapiro will place a call to Chairman a “heads up.”  Message will also include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Brief outline of structure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Timing of filing.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Comm’r Brownell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10/7 COB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AftExec/BefPR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Dodson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Rick Shapiro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The day of the announcement, Dodson and Shapiro will place a call to give a “heads up.”  Message will also include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Brief outline of structure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Timing of filing.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FERC Merger Staff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Adam Wenner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NNG Counsel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The day of the announcement, we will place a call to give a “heads up.”  Message will also include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Brief outline of structure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Timing of filing.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SEC Staff Director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DofPR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Joanne Rutkowski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NNG Counsel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The day of the announcement, we will place a call to give a “heads up.”  Message will also include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Brief outline of structure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Timing of filing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Timing of transaction</w:t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?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?</w:t>
            </w:r>
          </w:p>
        </w:tc>
        <w:tc>
          <w:tcPr>
            <w:tcW w:w="125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orient="landscape" w:w="15840" w:h="12240"/>
      <w:pgMar w:left="1440" w:right="1440" w:gutter="0" w:header="0" w:top="144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2001-08-20T20:40:00Z</dcterms:created>
  <dc:creator>pkaufma</dc:creator>
  <dc:description/>
  <dc:language>en-CA</dc:language>
  <cp:lastModifiedBy>pkaufma</cp:lastModifiedBy>
  <cp:lastPrinted>2001-08-20T16:11:00Z</cp:lastPrinted>
  <dcterms:modified xsi:type="dcterms:W3CDTF">2001-08-22T14:50:00Z</dcterms:modified>
  <cp:revision>12</cp:revision>
  <dc:subject/>
  <dc:title>Regulatory Plan</dc:title>
</cp:coreProperties>
</file>