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991957713"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Metts, Jessica Uhl, Keith Fullenweider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504"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 Harry Kingerski, Robert Kilmer, Blair Lichtenwalter, Leslie Lawner</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II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bookmarkStart w:id="3" w:name="StartOfMemo"/>
      <w:bookmarkStart w:id="4" w:name="StartOfMemo"/>
      <w:bookmarkEnd w:id="4"/>
    </w:p>
    <w:p>
      <w:pPr>
        <w:pStyle w:val="Body"/>
        <w:rPr>
          <w:color w:val="000000"/>
        </w:rPr>
      </w:pPr>
      <w:r>
        <w:rPr>
          <w:color w:val="000000"/>
        </w:rPr>
        <w:t>This memorandum summarizes our regulatory review of Northwest Natural Gas Company.  Our review consisted of the following:</w:t>
      </w:r>
    </w:p>
    <w:p>
      <w:pPr>
        <w:pStyle w:val="Body"/>
        <w:rPr>
          <w:color w:val="000000"/>
        </w:rPr>
      </w:pPr>
      <w:r>
        <w:rPr>
          <w:color w:val="000000"/>
        </w:rPr>
      </w:r>
    </w:p>
    <w:p>
      <w:pPr>
        <w:pStyle w:val="Body"/>
        <w:numPr>
          <w:ilvl w:val="0"/>
          <w:numId w:val="4"/>
        </w:numPr>
        <w:rPr>
          <w:color w:val="000000"/>
        </w:rPr>
      </w:pPr>
      <w:r>
        <w:rPr>
          <w:color w:val="000000"/>
        </w:rPr>
        <w:t>Review of Washington and Oregon retail tariffs</w:t>
      </w:r>
    </w:p>
    <w:p>
      <w:pPr>
        <w:pStyle w:val="Body"/>
        <w:numPr>
          <w:ilvl w:val="0"/>
          <w:numId w:val="4"/>
        </w:numPr>
        <w:rPr>
          <w:color w:val="000000"/>
        </w:rPr>
      </w:pPr>
      <w:r>
        <w:rPr>
          <w:color w:val="000000"/>
        </w:rPr>
        <w:t>Review of OPUC and WUTC decisions in NNG’s recent ratecases and PGA proceedings</w:t>
      </w:r>
    </w:p>
    <w:p>
      <w:pPr>
        <w:pStyle w:val="Body"/>
        <w:numPr>
          <w:ilvl w:val="0"/>
          <w:numId w:val="4"/>
        </w:numPr>
        <w:rPr>
          <w:color w:val="000000"/>
        </w:rPr>
      </w:pPr>
      <w:r>
        <w:rPr>
          <w:color w:val="000000"/>
        </w:rPr>
        <w:t>Interviews of NNG personnel, including Manager of Rates Susan Ackerman, COO Mark Dodson, and Manager of Gas Supply, Randy Peterson.</w:t>
      </w:r>
    </w:p>
    <w:p>
      <w:pPr>
        <w:pStyle w:val="Body"/>
        <w:numPr>
          <w:ilvl w:val="0"/>
          <w:numId w:val="4"/>
        </w:numPr>
        <w:rPr>
          <w:color w:val="000000"/>
        </w:rPr>
      </w:pPr>
      <w:r>
        <w:rPr>
          <w:color w:val="000000"/>
        </w:rPr>
        <w:t>Analysis of deferral accounts resulting from application of the OPUC purchased gas adjustment (PGA) methodology</w:t>
      </w:r>
    </w:p>
    <w:p>
      <w:pPr>
        <w:pStyle w:val="Body"/>
        <w:numPr>
          <w:ilvl w:val="0"/>
          <w:numId w:val="4"/>
        </w:numPr>
        <w:rPr>
          <w:color w:val="000000"/>
        </w:rPr>
      </w:pPr>
      <w:r>
        <w:rPr>
          <w:color w:val="000000"/>
        </w:rPr>
        <w:t xml:space="preserve">Outside counsel review of the approval process at FERC for the disposition of PGE’s assets, the SEC for the formation of NNG’s Holding Company, DOJ—HSR, and the OPUC.  Outside counsel analyzed the standards and likely issues if the OPUC reviews the transaction for the NNG HoldCo’s ability to exercise influence and control over PGE and NNG, the change in ownership of PGE’s assets, and the merger of two Oregon utilities.  Outside counsel also analyzed the  standards that are likely to be applied in Washington by the WUTC.  </w:t>
      </w:r>
    </w:p>
    <w:p>
      <w:pPr>
        <w:pStyle w:val="Body"/>
        <w:rPr>
          <w:color w:val="000000"/>
        </w:rPr>
      </w:pPr>
      <w:r>
        <w:rPr>
          <w:color w:val="000000"/>
        </w:rPr>
      </w:r>
    </w:p>
    <w:p>
      <w:pPr>
        <w:pStyle w:val="Body"/>
        <w:rPr>
          <w:color w:val="000000"/>
        </w:rPr>
      </w:pPr>
      <w:r>
        <w:rPr>
          <w:color w:val="000000"/>
        </w:rPr>
        <w:t xml:space="preserve">We did not do a “bottom up” review of NNG’s rates.  Instead, we completed a top down analysis by reviewing the inputs to NNG’s rates that can directly affect earnings.  </w:t>
      </w:r>
    </w:p>
    <w:p>
      <w:pPr>
        <w:pStyle w:val="Body"/>
        <w:rPr>
          <w:color w:val="000000"/>
        </w:rPr>
      </w:pPr>
      <w:r>
        <w:rPr>
          <w:color w:val="000000"/>
        </w:rPr>
      </w:r>
    </w:p>
    <w:p>
      <w:pPr>
        <w:pStyle w:val="Body"/>
        <w:rPr>
          <w:color w:val="000000"/>
        </w:rPr>
      </w:pPr>
      <w:r>
        <w:rPr>
          <w:color w:val="000000"/>
        </w:rPr>
        <w:t>The sections that follow present our conclusions in several key areas:</w:t>
      </w:r>
    </w:p>
    <w:p>
      <w:pPr>
        <w:pStyle w:val="Body"/>
        <w:rPr>
          <w:color w:val="000000"/>
        </w:rPr>
      </w:pPr>
      <w:r>
        <w:rPr>
          <w:color w:val="000000"/>
        </w:rPr>
      </w:r>
    </w:p>
    <w:p>
      <w:pPr>
        <w:pStyle w:val="Body"/>
        <w:rPr>
          <w:color w:val="000000"/>
          <w:u w:val="single"/>
        </w:rPr>
      </w:pPr>
      <w:r>
        <w:rPr>
          <w:color w:val="000000"/>
          <w:u w:val="single"/>
        </w:rPr>
        <w:t>RATES IN GENERAL</w:t>
      </w:r>
    </w:p>
    <w:p>
      <w:pPr>
        <w:pStyle w:val="Body"/>
        <w:rPr>
          <w:color w:val="000000"/>
          <w:u w:val="single"/>
        </w:rPr>
      </w:pPr>
      <w:r>
        <w:rPr>
          <w:color w:val="000000"/>
          <w:u w:val="single"/>
        </w:rPr>
      </w:r>
    </w:p>
    <w:p>
      <w:pPr>
        <w:pStyle w:val="Body"/>
        <w:rPr>
          <w:color w:val="000000"/>
        </w:rPr>
      </w:pPr>
      <w:r>
        <w:rPr>
          <w:color w:val="000000"/>
        </w:rPr>
        <w:t>As a general matter, NNG customers pay four cost categories in their rates:</w:t>
      </w:r>
    </w:p>
    <w:p>
      <w:pPr>
        <w:pStyle w:val="Body"/>
        <w:rPr>
          <w:color w:val="000000"/>
        </w:rPr>
      </w:pPr>
      <w:r>
        <w:rPr>
          <w:color w:val="000000"/>
        </w:rPr>
      </w:r>
    </w:p>
    <w:p>
      <w:pPr>
        <w:pStyle w:val="Body"/>
        <w:numPr>
          <w:ilvl w:val="0"/>
          <w:numId w:val="7"/>
        </w:numPr>
        <w:tabs>
          <w:tab w:val="left" w:pos="432" w:leader="none"/>
        </w:tabs>
        <w:ind w:hanging="360" w:start="432" w:end="0"/>
        <w:rPr>
          <w:color w:val="000000"/>
        </w:rPr>
      </w:pPr>
      <w:r>
        <w:rPr>
          <w:color w:val="000000"/>
        </w:rPr>
        <w:t xml:space="preserve">Base rates—which include NNG’s A&amp;G, distribution capital costs, and distribution O&amp;M. </w:t>
      </w:r>
    </w:p>
    <w:p>
      <w:pPr>
        <w:pStyle w:val="Body"/>
        <w:numPr>
          <w:ilvl w:val="0"/>
          <w:numId w:val="7"/>
        </w:numPr>
        <w:tabs>
          <w:tab w:val="left" w:pos="432" w:leader="none"/>
        </w:tabs>
        <w:ind w:hanging="360" w:start="432" w:end="0"/>
        <w:rPr>
          <w:color w:val="000000"/>
        </w:rPr>
      </w:pPr>
      <w:r>
        <w:rPr>
          <w:color w:val="000000"/>
        </w:rPr>
        <w:t>Upstream capacity.</w:t>
      </w:r>
    </w:p>
    <w:p>
      <w:pPr>
        <w:pStyle w:val="Body"/>
        <w:numPr>
          <w:ilvl w:val="0"/>
          <w:numId w:val="7"/>
        </w:numPr>
        <w:tabs>
          <w:tab w:val="left" w:pos="432" w:leader="none"/>
        </w:tabs>
        <w:ind w:hanging="360" w:start="432" w:end="0"/>
        <w:rPr>
          <w:color w:val="000000"/>
        </w:rPr>
      </w:pPr>
      <w:r>
        <w:rPr>
          <w:color w:val="000000"/>
        </w:rPr>
        <w:t>Gas commodity—which is set in both Washington and Oregon through a PGA.</w:t>
      </w:r>
    </w:p>
    <w:p>
      <w:pPr>
        <w:pStyle w:val="Body"/>
        <w:numPr>
          <w:ilvl w:val="0"/>
          <w:numId w:val="7"/>
        </w:numPr>
        <w:tabs>
          <w:tab w:val="left" w:pos="432" w:leader="none"/>
        </w:tabs>
        <w:ind w:hanging="360" w:start="432" w:end="0"/>
        <w:rPr>
          <w:color w:val="000000"/>
        </w:rPr>
      </w:pPr>
      <w:r>
        <w:rPr>
          <w:color w:val="000000"/>
        </w:rPr>
        <w:t>“</w:t>
      </w:r>
      <w:r>
        <w:rPr>
          <w:color w:val="000000"/>
        </w:rPr>
        <w:t xml:space="preserve">Temporary Increments”—which reflect the annual amortization of NNG’s deferral accounts.  Current law limits the annual amortization that can be recovered in rates of any one deferral account to 3% of gross revenues.   </w:t>
      </w:r>
    </w:p>
    <w:p>
      <w:pPr>
        <w:pStyle w:val="Body"/>
        <w:rPr>
          <w:color w:val="000000"/>
        </w:rPr>
      </w:pPr>
      <w:r>
        <w:rPr>
          <w:color w:val="000000"/>
        </w:rPr>
      </w:r>
    </w:p>
    <w:p>
      <w:pPr>
        <w:pStyle w:val="Body"/>
        <w:rPr>
          <w:color w:val="000000"/>
        </w:rPr>
      </w:pPr>
      <w:r>
        <w:rPr>
          <w:color w:val="000000"/>
        </w:rPr>
        <w:t>NNG’s Washington and Oregon tariffs are consistent with indusry practice in form and content.  Consistent with industry practice, NNG’s tariffs include rules and conditions for disconnection, retail customer credit requirements, customer service extensions, and customer curtailment.</w:t>
      </w:r>
    </w:p>
    <w:p>
      <w:pPr>
        <w:pStyle w:val="Body"/>
        <w:rPr>
          <w:color w:val="000000"/>
          <w:u w:val="single"/>
        </w:rPr>
      </w:pPr>
      <w:r>
        <w:rPr>
          <w:color w:val="000000"/>
          <w:u w:val="single"/>
        </w:rPr>
      </w:r>
    </w:p>
    <w:p>
      <w:pPr>
        <w:pStyle w:val="Body"/>
        <w:rPr>
          <w:color w:val="000000"/>
          <w:u w:val="single"/>
        </w:rPr>
      </w:pPr>
      <w:r>
        <w:rPr>
          <w:color w:val="000000"/>
          <w:u w:val="single"/>
        </w:rPr>
        <w:t>BASE RATES</w:t>
      </w:r>
    </w:p>
    <w:p>
      <w:pPr>
        <w:pStyle w:val="Body"/>
        <w:rPr>
          <w:color w:val="000000"/>
          <w:u w:val="single"/>
        </w:rPr>
      </w:pPr>
      <w:r>
        <w:rPr>
          <w:color w:val="000000"/>
          <w:u w:val="single"/>
        </w:rPr>
      </w:r>
    </w:p>
    <w:p>
      <w:pPr>
        <w:pStyle w:val="Body"/>
        <w:rPr/>
      </w:pPr>
      <w:r>
        <w:rPr>
          <w:color w:val="000000"/>
          <w:u w:val="single"/>
        </w:rPr>
        <w:t>Overview</w:t>
      </w:r>
      <w:r>
        <w:rPr>
          <w:color w:val="000000"/>
        </w:rPr>
        <w:t xml:space="preserve">.  NNG filed a general rate case (GRC) in 1998.  This filing was their first GRC in approximately 10 years.  The OPUC rejected much of NNG’s request  for a rate increase—including NNG’s request for full recovery of approximately $40 million in CIS costs.  In its order, the OPUC authorized a $200,000 rate increase for NNG (November, 1999).  </w:t>
      </w:r>
    </w:p>
    <w:p>
      <w:pPr>
        <w:pStyle w:val="Body"/>
        <w:rPr>
          <w:color w:val="000000"/>
        </w:rPr>
      </w:pPr>
      <w:r>
        <w:rPr>
          <w:color w:val="000000"/>
        </w:rPr>
      </w:r>
    </w:p>
    <w:p>
      <w:pPr>
        <w:pStyle w:val="Body"/>
        <w:rPr>
          <w:color w:val="000000"/>
        </w:rPr>
      </w:pPr>
      <w:r>
        <w:rPr>
          <w:color w:val="000000"/>
        </w:rPr>
        <w:t xml:space="preserve">NNG’s rates became effective on December, 1999.  NNG’s current base rates include the OPUC approved ROE of 10.25%.    On December 1, 2000, NNG reduced rates $3.0 million as a result of increasing the costs allocated to its Washington jurisdicitonal customers.  </w:t>
      </w:r>
    </w:p>
    <w:p>
      <w:pPr>
        <w:pStyle w:val="Body"/>
        <w:ind w:start="0" w:end="0"/>
        <w:rPr>
          <w:color w:val="000000"/>
        </w:rPr>
      </w:pPr>
      <w:r>
        <w:rPr>
          <w:color w:val="000000"/>
        </w:rPr>
      </w:r>
    </w:p>
    <w:p>
      <w:pPr>
        <w:pStyle w:val="Body"/>
        <w:rPr>
          <w:color w:val="000000"/>
        </w:rPr>
      </w:pPr>
      <w:r>
        <w:rPr>
          <w:color w:val="000000"/>
        </w:rPr>
        <w:t xml:space="preserve">In October 2000, the WUTC authorized a general rate increase of $4.3 million/year or 12.1%.  The first $3.0 million of the increase (due to the change in allocation referenced above) was placed in rates on November 1, 2000.  The remaining $1.3 million was reflected in rates beginning October 1, 2001.   </w:t>
      </w:r>
    </w:p>
    <w:p>
      <w:pPr>
        <w:pStyle w:val="Body"/>
        <w:rPr>
          <w:color w:val="000000"/>
        </w:rPr>
      </w:pPr>
      <w:r>
        <w:rPr>
          <w:color w:val="000000"/>
        </w:rPr>
      </w:r>
    </w:p>
    <w:p>
      <w:pPr>
        <w:pStyle w:val="Body"/>
        <w:rPr>
          <w:color w:val="000000"/>
        </w:rPr>
      </w:pPr>
      <w:r>
        <w:rPr>
          <w:color w:val="000000"/>
        </w:rPr>
        <w:t>Historically, NNG has received approximately 10% of its gross revenues from its Washington operations.   Management indicates that their Washington customer base and load is increasing at a faster rate.</w:t>
      </w:r>
    </w:p>
    <w:p>
      <w:pPr>
        <w:pStyle w:val="Body"/>
        <w:rPr>
          <w:color w:val="000000"/>
        </w:rPr>
      </w:pPr>
      <w:r>
        <w:rPr>
          <w:color w:val="000000"/>
        </w:rPr>
      </w:r>
    </w:p>
    <w:p>
      <w:pPr>
        <w:pStyle w:val="Body"/>
        <w:rPr/>
      </w:pPr>
      <w:r>
        <w:rPr>
          <w:color w:val="000000"/>
          <w:u w:val="single"/>
        </w:rPr>
        <w:t>Risks</w:t>
      </w:r>
      <w:r>
        <w:rPr>
          <w:color w:val="000000"/>
        </w:rPr>
        <w:t xml:space="preserve">.  Like most LDCs NNGs revenues are highly throughput sensitive.  Many factors influence throughput  such as price, weather, and general economic conditions.  In 2001, NNG’s residential and commercial customes are consuming less on a per customer basis than in past years.  NNG has been unable to determine the cause of this decrease.   In this regard, note that consumption in calendar year 2000 also appears to have dropped from consumption levels in prior years.  </w:t>
      </w:r>
    </w:p>
    <w:p>
      <w:pPr>
        <w:pStyle w:val="Body"/>
        <w:rPr>
          <w:color w:val="000000"/>
          <w:u w:val="single"/>
        </w:rPr>
      </w:pPr>
      <w:r>
        <w:rPr>
          <w:color w:val="000000"/>
          <w:u w:val="single"/>
        </w:rPr>
      </w:r>
    </w:p>
    <w:p>
      <w:pPr>
        <w:pStyle w:val="Body"/>
        <w:rPr>
          <w:color w:val="000000"/>
        </w:rPr>
      </w:pPr>
      <w:r>
        <w:rPr>
          <w:color w:val="000000"/>
        </w:rPr>
        <w:t xml:space="preserve">A continued slump in NNG’s consumption could force NNG into a GRC.  GRCs have a tendency to “attract issues.”  Thus, it is likely that the OPUC and intervenors would push for a return of any synergies experienced by consolidating NNG and PGE.   We can also expect ROE, debt/equity ratios, and prudence of NNG’s capital expenditures to be issues in any GRC.   </w:t>
      </w:r>
    </w:p>
    <w:p>
      <w:pPr>
        <w:pStyle w:val="Body"/>
        <w:rPr>
          <w:color w:val="000000"/>
        </w:rPr>
      </w:pPr>
      <w:r>
        <w:rPr>
          <w:color w:val="000000"/>
        </w:rPr>
      </w:r>
    </w:p>
    <w:p>
      <w:pPr>
        <w:pStyle w:val="Body"/>
        <w:rPr>
          <w:color w:val="000000"/>
        </w:rPr>
      </w:pPr>
      <w:r>
        <w:rPr>
          <w:color w:val="000000"/>
        </w:rPr>
        <w:t xml:space="preserve">Regarding ROE, NNG was unable to achieve its requested ROE (of in excess of 11%) in its 1998 rate case.  </w:t>
      </w:r>
    </w:p>
    <w:p>
      <w:pPr>
        <w:pStyle w:val="Body"/>
        <w:rPr>
          <w:color w:val="000000"/>
        </w:rPr>
      </w:pPr>
      <w:r>
        <w:rPr>
          <w:color w:val="000000"/>
        </w:rPr>
      </w:r>
    </w:p>
    <w:p>
      <w:pPr>
        <w:pStyle w:val="Body"/>
        <w:rPr>
          <w:color w:val="000000"/>
        </w:rPr>
      </w:pPr>
      <w:r>
        <w:rPr>
          <w:color w:val="000000"/>
        </w:rPr>
        <w:t xml:space="preserve">Further, as discussed above, the OPUC ordered a signficant disallowance of NNG’s CIS expenditures.  NNG is projecting a substantial  capital investment in the Mist Project in 2003 ($99.2 million).  If this expenditure be captured in the test year used for the GRC it will be subject to substantial scrutiny in the GRC. For example, OPUC staff could argue in the GRC that the Mist investment was not “used and useful” for Oregon ratepayers.  This would force NNG to recover the costs through FERC jurisdictional rates.  </w:t>
      </w:r>
    </w:p>
    <w:p>
      <w:pPr>
        <w:pStyle w:val="Body"/>
        <w:rPr>
          <w:color w:val="000000"/>
        </w:rPr>
      </w:pPr>
      <w:r>
        <w:rPr>
          <w:color w:val="000000"/>
        </w:rPr>
      </w:r>
    </w:p>
    <w:p>
      <w:pPr>
        <w:pStyle w:val="Body"/>
        <w:rPr/>
      </w:pPr>
      <w:r>
        <w:rPr>
          <w:color w:val="000000"/>
          <w:u w:val="single"/>
        </w:rPr>
        <w:t>Mitigating Factors</w:t>
      </w:r>
      <w:r>
        <w:rPr>
          <w:color w:val="000000"/>
        </w:rPr>
        <w:t xml:space="preserve">.   There are at least two mitigating factors that can operate to keep NNG from filing a GRC.  </w:t>
      </w:r>
    </w:p>
    <w:p>
      <w:pPr>
        <w:pStyle w:val="Body"/>
        <w:rPr>
          <w:color w:val="000000"/>
          <w:u w:val="single"/>
        </w:rPr>
      </w:pPr>
      <w:r>
        <w:rPr>
          <w:color w:val="000000"/>
          <w:u w:val="single"/>
        </w:rPr>
      </w:r>
    </w:p>
    <w:p>
      <w:pPr>
        <w:pStyle w:val="Body"/>
        <w:rPr>
          <w:color w:val="000000"/>
        </w:rPr>
      </w:pPr>
      <w:r>
        <w:rPr>
          <w:color w:val="000000"/>
        </w:rPr>
        <w:t xml:space="preserve">First, on May 31, 2001, NNG filed a “Distribution Margin Normalization Tariff” for review and approval by the OPUC.  The filing decouples NNG’s earnings from throughput.   While discussions concerning the tariff continue at the OPUC, NNG is hopeful that the revenue sharing aspects of the filing will result in approval by the OPUC.  </w:t>
      </w:r>
    </w:p>
    <w:p>
      <w:pPr>
        <w:pStyle w:val="Body"/>
        <w:rPr>
          <w:color w:val="000000"/>
          <w:u w:val="single"/>
        </w:rPr>
      </w:pPr>
      <w:r>
        <w:rPr>
          <w:color w:val="000000"/>
          <w:u w:val="single"/>
        </w:rPr>
      </w:r>
    </w:p>
    <w:p>
      <w:pPr>
        <w:pStyle w:val="Body"/>
        <w:rPr>
          <w:color w:val="000000"/>
        </w:rPr>
      </w:pPr>
      <w:r>
        <w:rPr>
          <w:color w:val="000000"/>
        </w:rPr>
        <w:t>The mechanism examines the actual monthly usage of customers who were on the NNG’s system in 1998, and compares their usage to the usage assumed for these customers in the 1998 rate case.  If the usage from these customers exceeds the 1998 numbers, NNG will “book” a refund to a sub-account of Account 186.  If the usage is less than 1998 numbers, NNG would make a debit entry to the sub-account.  Balances in the account will carry interest.   Coincident with NNG’s PGA filings (August 15 of every year, with rates effective October 1), NNG will apply a temporary adjustmentto rates that will amortize the balance in the sub-account over the following 12 months.   NNG proposes to credit any refunds to customers ina  single lump sum reduction to a customer’s bill.   Any credit s iless than 10% of normal rate case margin will be carried forward.</w:t>
      </w:r>
    </w:p>
    <w:p>
      <w:pPr>
        <w:pStyle w:val="Body"/>
        <w:rPr>
          <w:color w:val="000000"/>
        </w:rPr>
      </w:pPr>
      <w:r>
        <w:rPr>
          <w:color w:val="000000"/>
        </w:rPr>
      </w:r>
    </w:p>
    <w:p>
      <w:pPr>
        <w:pStyle w:val="Body"/>
        <w:rPr/>
      </w:pPr>
      <w:r>
        <w:rPr>
          <w:color w:val="000000"/>
        </w:rPr>
        <w:t xml:space="preserve">If approved as filed, the tariff will “lock in” NNG’s margin for those customers on its system in 1998.  The tariff allows NNG to capture the upside of any margin growth associated with customers that have been added since this time.  Note that the rate adjustments or credits calculated under the tariff mechanism are collected or applied to </w:t>
      </w:r>
      <w:r>
        <w:rPr>
          <w:b/>
          <w:color w:val="000000"/>
        </w:rPr>
        <w:t>all</w:t>
      </w:r>
      <w:r>
        <w:rPr>
          <w:color w:val="000000"/>
        </w:rPr>
        <w:t xml:space="preserve"> residential and commercial customers.  </w:t>
      </w:r>
    </w:p>
    <w:p>
      <w:pPr>
        <w:pStyle w:val="Body"/>
        <w:rPr>
          <w:color w:val="000000"/>
        </w:rPr>
      </w:pPr>
      <w:r>
        <w:rPr>
          <w:color w:val="000000"/>
        </w:rPr>
      </w:r>
    </w:p>
    <w:p>
      <w:pPr>
        <w:pStyle w:val="Body"/>
        <w:rPr>
          <w:color w:val="000000"/>
        </w:rPr>
      </w:pPr>
      <w:r>
        <w:rPr>
          <w:color w:val="000000"/>
        </w:rPr>
        <w:t xml:space="preserve">Second, NNG has stated that if they are heading towards a GRC, they they could control their need for a rate adjustment by not making the capital investment in the Mist storage field contemplated for 2003 (or they could presumably seek off-balance sheet financing for the project.) </w:t>
      </w:r>
    </w:p>
    <w:p>
      <w:pPr>
        <w:pStyle w:val="Body"/>
        <w:rPr>
          <w:color w:val="000000"/>
          <w:u w:val="single"/>
        </w:rPr>
      </w:pPr>
      <w:r>
        <w:rPr>
          <w:color w:val="000000"/>
          <w:u w:val="single"/>
        </w:rPr>
      </w:r>
    </w:p>
    <w:p>
      <w:pPr>
        <w:pStyle w:val="Body"/>
        <w:rPr>
          <w:color w:val="000000"/>
        </w:rPr>
      </w:pPr>
      <w:r>
        <w:rPr>
          <w:color w:val="000000"/>
        </w:rPr>
        <w:t xml:space="preserve">If NNG ends up filing a GRC, there are indications that they would fair better then they did in 1998.  In this regard, the Chairman of the OPUC has been replaced.  Further, by the beginning of October , 2001, one of the other two commissioners sitting at the time of the 1998 GRC decision will also be replaced.  The prior Chairman, Ron Eachus, was generally considered a consumer-focused commissioner.  It is anticipated that the new Chairman, Roy Hemmingway, will  be more balanced in his approach to regulation.  </w:t>
      </w:r>
    </w:p>
    <w:p>
      <w:pPr>
        <w:pStyle w:val="Body"/>
        <w:rPr>
          <w:color w:val="000000"/>
        </w:rPr>
      </w:pPr>
      <w:r>
        <w:rPr>
          <w:color w:val="000000"/>
        </w:rPr>
      </w:r>
    </w:p>
    <w:p>
      <w:pPr>
        <w:pStyle w:val="Body"/>
        <w:rPr>
          <w:color w:val="000000"/>
        </w:rPr>
      </w:pPr>
      <w:r>
        <w:rPr>
          <w:color w:val="000000"/>
        </w:rPr>
        <w:t xml:space="preserve">In addition, the lead OPUC staff witness who defeated NNG’s 1998 ROE request is no longer wit hthe OPUC.  Attachment A to this memorandum is a status report from Tonkon Torp concerning PGE’s ROE.  PGE is currently litigating its ROE before the full OPUC.  As you know, PGE expects that it will receive fair treatment from the OPUC on ROE.   However, note that as a general matter, ROEs have dropped since NNG filed its rate case and received 10.25% from the OPUC.  </w:t>
      </w:r>
    </w:p>
    <w:p>
      <w:pPr>
        <w:pStyle w:val="Body"/>
        <w:rPr>
          <w:color w:val="000000"/>
        </w:rPr>
      </w:pPr>
      <w:r>
        <w:rPr>
          <w:color w:val="000000"/>
        </w:rPr>
      </w:r>
    </w:p>
    <w:p>
      <w:pPr>
        <w:pStyle w:val="Body"/>
        <w:rPr>
          <w:color w:val="000000"/>
        </w:rPr>
      </w:pPr>
      <w:r>
        <w:rPr>
          <w:color w:val="000000"/>
        </w:rPr>
        <w:t xml:space="preserve">Regarding Mist, past investments in the Mist project have been given favorable consideration at the OPUC.   The OPUC approved NNG’smost recent request for rate treatment of a Mist investment in a single-issue rate case filed with NNG’s last PGA.    </w:t>
      </w:r>
    </w:p>
    <w:p>
      <w:pPr>
        <w:pStyle w:val="Body"/>
        <w:rPr>
          <w:color w:val="000000"/>
        </w:rPr>
      </w:pPr>
      <w:r>
        <w:rPr>
          <w:color w:val="000000"/>
        </w:rPr>
      </w:r>
    </w:p>
    <w:p>
      <w:pPr>
        <w:pStyle w:val="Body"/>
        <w:rPr/>
      </w:pPr>
      <w:r>
        <w:rPr>
          <w:color w:val="000000"/>
          <w:u w:val="single"/>
        </w:rPr>
        <w:t>Conclusion</w:t>
      </w:r>
      <w:r>
        <w:rPr>
          <w:color w:val="000000"/>
        </w:rPr>
        <w:t>. If approved, the Distribution Margin Normalization tariff will mitigate much of NNG’s throughput risk.  If this mechanism is not in place and consumption trends continue downward, NNG may need a GRC to avoid a substantial reduction in distribution margin.   Should NNG file a GRC, NNG’s changes of fair treatment by the OPUC have improved substantially since the filing of its last GRC in 1998.  In our interviews, NNG management stated that they do not anticiapte the need for a general rate case and could accept a base rate freeze for a period of five years.</w:t>
      </w:r>
    </w:p>
    <w:p>
      <w:pPr>
        <w:pStyle w:val="Body"/>
        <w:rPr>
          <w:color w:val="000000"/>
          <w:u w:val="single"/>
        </w:rPr>
      </w:pPr>
      <w:r>
        <w:rPr>
          <w:color w:val="000000"/>
          <w:u w:val="single"/>
        </w:rPr>
      </w:r>
    </w:p>
    <w:p>
      <w:pPr>
        <w:pStyle w:val="Body"/>
        <w:rPr>
          <w:color w:val="000000"/>
          <w:u w:val="single"/>
        </w:rPr>
      </w:pPr>
      <w:r>
        <w:rPr>
          <w:color w:val="000000"/>
          <w:u w:val="single"/>
        </w:rPr>
        <w:t>MIST INVESTMENTS</w:t>
      </w:r>
    </w:p>
    <w:p>
      <w:pPr>
        <w:pStyle w:val="Body"/>
        <w:ind w:start="0" w:end="0"/>
        <w:rPr>
          <w:color w:val="000000"/>
          <w:u w:val="single"/>
        </w:rPr>
      </w:pPr>
      <w:r>
        <w:rPr>
          <w:color w:val="000000"/>
          <w:u w:val="single"/>
        </w:rPr>
      </w:r>
    </w:p>
    <w:p>
      <w:pPr>
        <w:pStyle w:val="Body"/>
        <w:rPr/>
      </w:pPr>
      <w:r>
        <w:rPr>
          <w:color w:val="000000"/>
          <w:u w:val="single"/>
        </w:rPr>
        <w:t>Overview</w:t>
      </w:r>
      <w:r>
        <w:rPr>
          <w:color w:val="000000"/>
        </w:rPr>
        <w:t xml:space="preserve">.  NNG management stated that Mist is one of NNG’s most valuable assets.  From a regulatory perspective, Mist consists of several phases of development and attendant capital investment.   Ackerman explained that the capital costs of Mist Phases 1, 2, and 3 are currently collected in NNG’s base rates.  Ackerman also explained that a portion of the capital investment in Mist Phase 3b was approved for collection in a special rate adder in NNG’s last PGA proceeding (in the form of a single issue rate case).  </w:t>
      </w:r>
    </w:p>
    <w:p>
      <w:pPr>
        <w:pStyle w:val="Body"/>
        <w:rPr>
          <w:color w:val="000000"/>
        </w:rPr>
      </w:pPr>
      <w:r>
        <w:rPr>
          <w:color w:val="000000"/>
        </w:rPr>
      </w:r>
    </w:p>
    <w:p>
      <w:pPr>
        <w:pStyle w:val="Body"/>
        <w:rPr>
          <w:color w:val="000000"/>
        </w:rPr>
      </w:pPr>
      <w:r>
        <w:rPr>
          <w:color w:val="000000"/>
        </w:rPr>
        <w:t>In its order, the OPUC allowed only $4.9 million of NNG’s Phase 3b Mist investment in NNG’s Oregon rates.   NNG has filed a request for rate approval at FERC for the remaining investment of approximately $11.1 million.  We understand from  NNG management that approval of cost-based rates is likely.  NNG has alreadly contractred for the sale of the FERC jurisdictional storage at negotiated rates.  Any revenues earned from the sale of FERC jurisdictional storage will be shared between NNG shareholders and Oregon ratepayers on an 80/20 basis.</w:t>
      </w:r>
    </w:p>
    <w:p>
      <w:pPr>
        <w:pStyle w:val="Body"/>
        <w:rPr>
          <w:color w:val="000000"/>
        </w:rPr>
      </w:pPr>
      <w:r>
        <w:rPr>
          <w:color w:val="000000"/>
        </w:rPr>
      </w:r>
    </w:p>
    <w:p>
      <w:pPr>
        <w:pStyle w:val="Body"/>
        <w:rPr>
          <w:color w:val="000000"/>
        </w:rPr>
      </w:pPr>
      <w:r>
        <w:rPr>
          <w:color w:val="000000"/>
        </w:rPr>
        <w:t xml:space="preserve">As stated above, NNG plans to invest approximately $90 million in additional phases (Phase 4 and 5) of Mist development in 2003.  Dodson and Ackerman both stated that this investment is discretionary.  NNG’s plans are to use the next phase of development to support a distinct storage business.  </w:t>
      </w:r>
    </w:p>
    <w:p>
      <w:pPr>
        <w:pStyle w:val="Body"/>
        <w:rPr>
          <w:color w:val="000000"/>
        </w:rPr>
      </w:pPr>
      <w:r>
        <w:rPr>
          <w:color w:val="000000"/>
        </w:rPr>
      </w:r>
    </w:p>
    <w:p>
      <w:pPr>
        <w:pStyle w:val="Body"/>
        <w:rPr/>
      </w:pPr>
      <w:r>
        <w:rPr>
          <w:color w:val="000000"/>
          <w:u w:val="single"/>
        </w:rPr>
        <w:t>Risk</w:t>
      </w:r>
      <w:r>
        <w:rPr>
          <w:color w:val="000000"/>
        </w:rPr>
        <w:t xml:space="preserve">.  Interviews with NNG management indicate that NNG sold the FERC jurisdictional storage under contracts with  negotiated rates.  NNG must now request FERC approval for these contracts.  There is a risk that the negotiated rates will not be given FERC approval as FERC has approved cost-based rates for Mist Storage.  Should FERC reject NNG’s negotiated rates, NNG will be at risk for recovery of the revenue requirement for FERC jurisdictional storage.  We understand that the 80/20 mechanism discussed above only shares revenues (not underrecovered costs).  </w:t>
      </w:r>
    </w:p>
    <w:p>
      <w:pPr>
        <w:pStyle w:val="Body"/>
        <w:rPr>
          <w:color w:val="000000"/>
          <w:u w:val="single"/>
        </w:rPr>
      </w:pPr>
      <w:r>
        <w:rPr>
          <w:color w:val="000000"/>
          <w:u w:val="single"/>
        </w:rPr>
      </w:r>
    </w:p>
    <w:p>
      <w:pPr>
        <w:pStyle w:val="Body"/>
        <w:rPr/>
      </w:pPr>
      <w:r>
        <w:rPr>
          <w:color w:val="000000"/>
          <w:u w:val="single"/>
        </w:rPr>
        <w:t>Conclusion</w:t>
      </w:r>
      <w:r>
        <w:rPr>
          <w:color w:val="000000"/>
        </w:rPr>
        <w:t>.  We do not have any data on the contracts for sale of FERC jurisdicitonal storage, but the risk exposure appears to be quite small given the total investment at issue.  Also, Ackerman represented that the contracts were negotiated at rates below the cost-based rates approved by FERC.  FERC generally approves negotiated that are below cost.</w:t>
      </w:r>
    </w:p>
    <w:p>
      <w:pPr>
        <w:pStyle w:val="Body"/>
        <w:rPr>
          <w:color w:val="000000"/>
          <w:u w:val="single"/>
        </w:rPr>
      </w:pPr>
      <w:r>
        <w:rPr>
          <w:color w:val="000000"/>
          <w:u w:val="single"/>
        </w:rPr>
      </w:r>
    </w:p>
    <w:p>
      <w:pPr>
        <w:pStyle w:val="Body"/>
        <w:rPr>
          <w:color w:val="000000"/>
        </w:rPr>
      </w:pPr>
      <w:r>
        <w:rPr>
          <w:color w:val="000000"/>
        </w:rPr>
        <w:t xml:space="preserve">Regarding NNG’s future investment in Mist Phase 4 and 5, ___ stated that they plan to make the investment only if the storage is pre-sold.  NNG has high hopes for Mist given its unique attirbutes.  </w:t>
      </w:r>
    </w:p>
    <w:p>
      <w:pPr>
        <w:pStyle w:val="Body"/>
        <w:rPr>
          <w:color w:val="000000"/>
          <w:u w:val="single"/>
        </w:rPr>
      </w:pPr>
      <w:r>
        <w:rPr>
          <w:color w:val="000000"/>
          <w:u w:val="single"/>
        </w:rPr>
      </w:r>
    </w:p>
    <w:p>
      <w:pPr>
        <w:pStyle w:val="Body"/>
        <w:rPr>
          <w:color w:val="000000"/>
        </w:rPr>
      </w:pPr>
      <w:r>
        <w:rPr>
          <w:color w:val="000000"/>
          <w:u w:val="single"/>
        </w:rPr>
        <w:t>PURCHASED GAS ADJUSTMENT MECHANISM</w:t>
      </w:r>
    </w:p>
    <w:p>
      <w:pPr>
        <w:pStyle w:val="Body"/>
        <w:rPr>
          <w:color w:val="000000"/>
        </w:rPr>
      </w:pPr>
      <w:r>
        <w:rPr>
          <w:color w:val="000000"/>
        </w:rPr>
      </w:r>
    </w:p>
    <w:p>
      <w:pPr>
        <w:pStyle w:val="Body"/>
        <w:rPr/>
      </w:pPr>
      <w:r>
        <w:rPr>
          <w:color w:val="000000"/>
          <w:u w:val="single"/>
        </w:rPr>
        <w:t>Overview.</w:t>
      </w:r>
      <w:r>
        <w:rPr>
          <w:color w:val="000000"/>
        </w:rPr>
        <w:t xml:space="preserve">  As stated above, both Washington and Oregon provide NNG with protection from purchased gas cost volatility.  Washington’s mechanism provides “dollar for dollar” recovery of prudent gas costs.  While we understand the WUTC examines the prudence of NNG’s gas procurement, the mechanism does not provide for any sharing of the upside or downside of their actual gas management strategies.</w:t>
      </w:r>
    </w:p>
    <w:p>
      <w:pPr>
        <w:pStyle w:val="Body"/>
        <w:rPr>
          <w:color w:val="000000"/>
          <w:u w:val="single"/>
        </w:rPr>
      </w:pPr>
      <w:r>
        <w:rPr>
          <w:color w:val="000000"/>
          <w:u w:val="single"/>
        </w:rPr>
      </w:r>
    </w:p>
    <w:p>
      <w:pPr>
        <w:pStyle w:val="Body"/>
        <w:rPr>
          <w:color w:val="000000"/>
        </w:rPr>
      </w:pPr>
      <w:r>
        <w:rPr>
          <w:color w:val="000000"/>
        </w:rPr>
        <w:t>Given the relative impact of the Oregon PGA on NNG’s revenues, we focused our attention on Oregon.  The basic mechanism can be described as follows:</w:t>
      </w:r>
    </w:p>
    <w:p>
      <w:pPr>
        <w:pStyle w:val="Body"/>
        <w:rPr>
          <w:color w:val="000000"/>
        </w:rPr>
      </w:pPr>
      <w:r>
        <w:rPr>
          <w:color w:val="000000"/>
        </w:rPr>
      </w:r>
    </w:p>
    <w:p>
      <w:pPr>
        <w:pStyle w:val="Body"/>
        <w:numPr>
          <w:ilvl w:val="0"/>
          <w:numId w:val="6"/>
        </w:numPr>
        <w:rPr>
          <w:color w:val="000000"/>
        </w:rPr>
      </w:pPr>
      <w:r>
        <w:rPr>
          <w:color w:val="000000"/>
        </w:rPr>
        <w:t>On or around August 15 of every year, NNG proposes a Weighted Average Cost of Gas (WACOG) for every month of the next twelve month period (beginning with October of that year).  The WACOG calculation consists of several steps:</w:t>
      </w:r>
    </w:p>
    <w:p>
      <w:pPr>
        <w:pStyle w:val="Body"/>
        <w:ind w:start="0" w:end="0"/>
        <w:rPr>
          <w:color w:val="000000"/>
        </w:rPr>
      </w:pPr>
      <w:r>
        <w:rPr>
          <w:color w:val="000000"/>
        </w:rPr>
      </w:r>
    </w:p>
    <w:p>
      <w:pPr>
        <w:pStyle w:val="Body"/>
        <w:numPr>
          <w:ilvl w:val="0"/>
          <w:numId w:val="2"/>
        </w:numPr>
        <w:tabs>
          <w:tab w:val="left" w:pos="1440" w:leader="none"/>
        </w:tabs>
        <w:ind w:hanging="720" w:start="1440" w:end="0"/>
        <w:rPr>
          <w:color w:val="000000"/>
        </w:rPr>
      </w:pPr>
      <w:r>
        <w:rPr>
          <w:color w:val="000000"/>
        </w:rPr>
        <w:t>NNG identifies the actual gas throughput for its customers for each month of the prior 12-month period.</w:t>
      </w:r>
    </w:p>
    <w:p>
      <w:pPr>
        <w:pStyle w:val="Body"/>
        <w:numPr>
          <w:ilvl w:val="0"/>
          <w:numId w:val="2"/>
        </w:numPr>
        <w:tabs>
          <w:tab w:val="left" w:pos="1440" w:leader="none"/>
        </w:tabs>
        <w:ind w:hanging="720" w:start="1440" w:end="0"/>
        <w:rPr>
          <w:color w:val="000000"/>
        </w:rPr>
      </w:pPr>
      <w:r>
        <w:rPr>
          <w:color w:val="000000"/>
        </w:rPr>
        <w:t>NNG develops a gas management strategy for each month.  This strategy identifies how much gas NNG will procure under some fixed price mechanism (hedging, fixed price supply, etc.) and how much gas NNG will purchase at  spot market-based prices.</w:t>
      </w:r>
    </w:p>
    <w:p>
      <w:pPr>
        <w:pStyle w:val="Body"/>
        <w:numPr>
          <w:ilvl w:val="0"/>
          <w:numId w:val="2"/>
        </w:numPr>
        <w:tabs>
          <w:tab w:val="left" w:pos="1440" w:leader="none"/>
        </w:tabs>
        <w:ind w:hanging="720" w:start="1440" w:end="0"/>
        <w:rPr>
          <w:color w:val="000000"/>
        </w:rPr>
      </w:pPr>
      <w:r>
        <w:rPr>
          <w:color w:val="000000"/>
        </w:rPr>
        <w:t>NNG calculates the “known and measurable” costs of the fixed price gas for each month.  This priceexpressly includes the cost of hedging.  Note that if NNG purchases a commodity swap, the price included is the swapped price agreed to by NNG.  If NNG purchases a cap, then the cost of the cap is included in the cost of gas, and an imputed market price is included in the price (not the cap price).</w:t>
      </w:r>
    </w:p>
    <w:p>
      <w:pPr>
        <w:pStyle w:val="Body"/>
        <w:numPr>
          <w:ilvl w:val="0"/>
          <w:numId w:val="2"/>
        </w:numPr>
        <w:tabs>
          <w:tab w:val="left" w:pos="1440" w:leader="none"/>
        </w:tabs>
        <w:ind w:hanging="720" w:start="1440" w:end="0"/>
        <w:rPr>
          <w:color w:val="000000"/>
        </w:rPr>
      </w:pPr>
      <w:r>
        <w:rPr>
          <w:color w:val="000000"/>
        </w:rPr>
        <w:t xml:space="preserve">NNG calculates the cost of spot market gas on the basis of a historic index for that month in the prior year. </w:t>
      </w:r>
    </w:p>
    <w:p>
      <w:pPr>
        <w:pStyle w:val="Body"/>
        <w:numPr>
          <w:ilvl w:val="0"/>
          <w:numId w:val="2"/>
        </w:numPr>
        <w:tabs>
          <w:tab w:val="left" w:pos="1440" w:leader="none"/>
        </w:tabs>
        <w:ind w:hanging="720" w:start="1440" w:end="0"/>
        <w:rPr>
          <w:color w:val="000000"/>
        </w:rPr>
      </w:pPr>
      <w:r>
        <w:rPr>
          <w:color w:val="000000"/>
        </w:rPr>
        <w:t>The gas cost is then divided by throughput .</w:t>
      </w:r>
    </w:p>
    <w:p>
      <w:pPr>
        <w:pStyle w:val="Body"/>
        <w:ind w:start="0" w:end="0"/>
        <w:rPr>
          <w:color w:val="000000"/>
        </w:rPr>
      </w:pPr>
      <w:r>
        <w:rPr>
          <w:color w:val="000000"/>
        </w:rPr>
      </w:r>
    </w:p>
    <w:p>
      <w:pPr>
        <w:pStyle w:val="Body"/>
        <w:ind w:start="0" w:end="0"/>
        <w:rPr>
          <w:color w:val="000000"/>
        </w:rPr>
      </w:pPr>
      <w:r>
        <w:rPr>
          <w:color w:val="000000"/>
        </w:rPr>
        <w:t>Once approved, the posted WACOG for each month is published in NNG’s Oregon rate schedule 169.  For example, the WACOG for August, 2001 is $0.33041/therm.</w:t>
      </w:r>
    </w:p>
    <w:p>
      <w:pPr>
        <w:pStyle w:val="Body"/>
        <w:ind w:start="0" w:end="0"/>
        <w:rPr>
          <w:color w:val="000000"/>
        </w:rPr>
      </w:pPr>
      <w:r>
        <w:rPr>
          <w:color w:val="000000"/>
        </w:rPr>
      </w:r>
    </w:p>
    <w:p>
      <w:pPr>
        <w:pStyle w:val="Body"/>
        <w:numPr>
          <w:ilvl w:val="0"/>
          <w:numId w:val="3"/>
        </w:numPr>
        <w:rPr>
          <w:color w:val="000000"/>
        </w:rPr>
      </w:pPr>
      <w:r>
        <w:rPr>
          <w:color w:val="000000"/>
        </w:rPr>
        <w:t xml:space="preserve">On a monthly basis, NNG calculates an </w:t>
      </w:r>
      <w:r>
        <w:rPr>
          <w:b/>
          <w:color w:val="000000"/>
        </w:rPr>
        <w:t xml:space="preserve">actual </w:t>
      </w:r>
      <w:r>
        <w:rPr>
          <w:color w:val="000000"/>
        </w:rPr>
        <w:t xml:space="preserve">WACOG.  The actual WACOG includes all of the know and measurable costs included in the posted WACOG, plus any actual gas costs incurred as NNG manages its actual portolio of gas supply against its actual throughput.  Thus, the actual WACOG is influenced by the amount of gas withdrawn from storage, actual spot market prices, and any other hedges, swaps, etc., purchased for the month after the posted WACOG is approved.   The actual WACOG is also affected by actual gas throughput.  </w:t>
      </w:r>
    </w:p>
    <w:p>
      <w:pPr>
        <w:pStyle w:val="Body"/>
        <w:ind w:start="0" w:end="0"/>
        <w:rPr>
          <w:color w:val="000000"/>
        </w:rPr>
      </w:pPr>
      <w:r>
        <w:rPr>
          <w:color w:val="000000"/>
        </w:rPr>
      </w:r>
    </w:p>
    <w:p>
      <w:pPr>
        <w:pStyle w:val="Body"/>
        <w:numPr>
          <w:ilvl w:val="0"/>
          <w:numId w:val="5"/>
        </w:numPr>
        <w:rPr>
          <w:color w:val="000000"/>
        </w:rPr>
      </w:pPr>
      <w:r>
        <w:rPr>
          <w:color w:val="000000"/>
        </w:rPr>
        <w:t>On a monthly basis, NNG credits or debits the Purchsae Gas Cost Adjustment  Account with 67% of the difference between the actual WACOG and the posted WACOG.  NNG shareholders bear the cost or enjoy the benefit of the remaining 33% of the difference.</w:t>
      </w:r>
    </w:p>
    <w:p>
      <w:pPr>
        <w:pStyle w:val="Body"/>
        <w:ind w:start="0" w:end="0"/>
        <w:rPr>
          <w:color w:val="000000"/>
        </w:rPr>
      </w:pPr>
      <w:r>
        <w:rPr>
          <w:color w:val="000000"/>
        </w:rPr>
      </w:r>
    </w:p>
    <w:p>
      <w:pPr>
        <w:pStyle w:val="Body"/>
        <w:numPr>
          <w:ilvl w:val="0"/>
          <w:numId w:val="5"/>
        </w:numPr>
        <w:rPr>
          <w:color w:val="000000"/>
        </w:rPr>
      </w:pPr>
      <w:r>
        <w:rPr>
          <w:color w:val="000000"/>
        </w:rPr>
        <w:t xml:space="preserve">The PGA Account collects interest.  With its annual PGA filings, NNG reports the amount in the deferred account and collects deferred amounts through a Temporary Increment.  Oregon law requires NNG to cap any adjustments in rates resulting from a deferral at #% of gross revenues.   Any amounts in excess of the 3% is carried for amortization in future years.  </w:t>
      </w:r>
    </w:p>
    <w:p>
      <w:pPr>
        <w:pStyle w:val="Body"/>
        <w:ind w:start="0" w:end="0"/>
        <w:rPr>
          <w:color w:val="000000"/>
        </w:rPr>
      </w:pPr>
      <w:r>
        <w:rPr>
          <w:color w:val="000000"/>
        </w:rPr>
      </w:r>
    </w:p>
    <w:p>
      <w:pPr>
        <w:pStyle w:val="Body"/>
        <w:ind w:start="0" w:end="0"/>
        <w:rPr/>
      </w:pPr>
      <w:r>
        <w:rPr>
          <w:color w:val="000000"/>
          <w:u w:val="single"/>
        </w:rPr>
        <w:t>Risk Analysis</w:t>
      </w:r>
      <w:r>
        <w:rPr>
          <w:color w:val="000000"/>
        </w:rPr>
        <w:t xml:space="preserve">.    We understand from discussions with Dodson, Ackerman and Friedman that in the past the sharing mechanism has resulted in substantial deferrals of as much as $20 million in a single month and shareholder losses of as approximately  $5 million.  This loss was calculated using the 80/20 shareholder/ratepayer sharing mechanism in place at the time.  </w:t>
      </w:r>
    </w:p>
    <w:p>
      <w:pPr>
        <w:pStyle w:val="Body"/>
        <w:ind w:start="0" w:end="0"/>
        <w:rPr>
          <w:color w:val="000000"/>
        </w:rPr>
      </w:pPr>
      <w:r>
        <w:rPr>
          <w:color w:val="000000"/>
        </w:rPr>
      </w:r>
    </w:p>
    <w:p>
      <w:pPr>
        <w:pStyle w:val="Body"/>
        <w:ind w:start="0" w:end="0"/>
        <w:rPr>
          <w:color w:val="000000"/>
        </w:rPr>
      </w:pPr>
      <w:r>
        <w:rPr>
          <w:color w:val="000000"/>
        </w:rPr>
        <w:t xml:space="preserve">We also understand that the $5 million shareholder loss was an isolated event.  NNG’s position was substantially open, with only 50% of their gas portfolio hedged.  Their portfolio did not include any gas supply contracts with caps and their use of Mist storage capacity was limited.  Nonetheless, it is clear that theOregon PGA sharing mechanism creates financial risk for NNG.  NNG bears this risk under a range of scenarios that includes:  (a) limited hedging—i.e., using market-based pricing for a large percentage of the gas portfolio; and (b) substantially colder or warmer temperatures than anticipated. </w:t>
      </w:r>
    </w:p>
    <w:p>
      <w:pPr>
        <w:pStyle w:val="Body"/>
        <w:ind w:start="0" w:end="0"/>
        <w:rPr>
          <w:color w:val="000000"/>
        </w:rPr>
      </w:pPr>
      <w:r>
        <w:rPr>
          <w:color w:val="000000"/>
        </w:rPr>
      </w:r>
    </w:p>
    <w:p>
      <w:pPr>
        <w:pStyle w:val="Body"/>
        <w:ind w:start="0" w:end="0"/>
        <w:rPr>
          <w:color w:val="000000"/>
        </w:rPr>
      </w:pPr>
      <w:r>
        <w:rPr>
          <w:color w:val="000000"/>
        </w:rPr>
        <w:t xml:space="preserve">NNG also bears the sharing risk if there is a catastrophic event on an upstream pipeline, limiting supplies and increasing prices.  NNG can curtail and interrupt customers for supply shortages, but cannot do so for economic reasons.  Thus, e.g., a pipeline rupture could force NNG to buy spot gas from a different basin.  </w:t>
      </w:r>
    </w:p>
    <w:p>
      <w:pPr>
        <w:pStyle w:val="Body"/>
        <w:ind w:start="0" w:end="0"/>
        <w:rPr>
          <w:color w:val="000000"/>
        </w:rPr>
      </w:pPr>
      <w:r>
        <w:rPr>
          <w:color w:val="000000"/>
        </w:rPr>
      </w:r>
    </w:p>
    <w:p>
      <w:pPr>
        <w:pStyle w:val="Body"/>
        <w:ind w:start="0" w:end="0"/>
        <w:rPr/>
      </w:pPr>
      <w:r>
        <w:rPr>
          <w:color w:val="000000"/>
          <w:u w:val="single"/>
        </w:rPr>
        <w:t>Mitigating Factors</w:t>
      </w:r>
      <w:r>
        <w:rPr>
          <w:color w:val="000000"/>
        </w:rPr>
        <w:t xml:space="preserve">.  Several factors are used by NNG to mitigate the risk created by the sharing mechanism.  The biggest risk mitigation factor is their use of hedging.  For example, Friedman stated that for the winter of 2000-2001, NNG hedged approximately 95% of their portfolio.  While this amount is substantially greater than traditionally employed by NNG, it worked well for NNG—saving ratepayers approximately ___ million.  Given that the costs of hedging and all fixed costs of gas are “known and measurable” gas costs and thus included in the WACOG, NNG bears no risk for hedged volumes.  </w:t>
      </w:r>
    </w:p>
    <w:p>
      <w:pPr>
        <w:pStyle w:val="Body"/>
        <w:ind w:start="0" w:end="0"/>
        <w:rPr>
          <w:color w:val="000000"/>
        </w:rPr>
      </w:pPr>
      <w:r>
        <w:rPr>
          <w:color w:val="000000"/>
        </w:rPr>
      </w:r>
    </w:p>
    <w:p>
      <w:pPr>
        <w:pStyle w:val="Body"/>
        <w:ind w:start="0" w:end="0"/>
        <w:rPr>
          <w:color w:val="000000"/>
        </w:rPr>
      </w:pPr>
      <w:r>
        <w:rPr>
          <w:color w:val="000000"/>
        </w:rPr>
        <w:t xml:space="preserve">Another mitigation factor is NNG’s use of storage.  NNG’s coldest peak day is approximately 900 MMcfd.  Their take-away-capacity for Mist and other storage is 470 MMcfd.  While these factors represent an extreme event, they are indicative of the flexibility provided to NNG by its storage inventory.  Note that a recent accounting change at the OPUC allows NNG to:  (1) price storage gas at the cost of the gas injected; and (2) include the price in the WACOG for the next PGA filing.  This accounting change allows NNG to, e.g., inject high-priced excess gas into storage and recover the costs through the WACOG without being subject to a deferral in the month.  </w:t>
      </w:r>
    </w:p>
    <w:p>
      <w:pPr>
        <w:pStyle w:val="Body"/>
        <w:ind w:start="0" w:end="0"/>
        <w:rPr>
          <w:color w:val="000000"/>
        </w:rPr>
      </w:pPr>
      <w:r>
        <w:rPr>
          <w:color w:val="000000"/>
        </w:rPr>
      </w:r>
    </w:p>
    <w:p>
      <w:pPr>
        <w:pStyle w:val="Body"/>
        <w:ind w:start="0" w:end="0"/>
        <w:rPr>
          <w:color w:val="000000"/>
        </w:rPr>
      </w:pPr>
      <w:r>
        <w:rPr>
          <w:color w:val="000000"/>
        </w:rPr>
        <w:t>Still another mitigation fac tor is NNG’s daily and monthly trading activities.  Friedman stated that his traders manage actual gas supply on the basis of:  (1) reliability and (2) price—i.e., lowest price.</w:t>
      </w:r>
    </w:p>
    <w:p>
      <w:pPr>
        <w:pStyle w:val="Body"/>
        <w:ind w:start="0" w:end="0"/>
        <w:rPr>
          <w:color w:val="000000"/>
        </w:rPr>
      </w:pPr>
      <w:r>
        <w:rPr>
          <w:color w:val="000000"/>
        </w:rPr>
      </w:r>
    </w:p>
    <w:p>
      <w:pPr>
        <w:pStyle w:val="Body"/>
        <w:ind w:start="0" w:end="0"/>
        <w:rPr>
          <w:color w:val="000000"/>
        </w:rPr>
      </w:pPr>
      <w:r>
        <w:rPr>
          <w:color w:val="000000"/>
        </w:rPr>
        <w:t>An additional mitigating factor is that NNG procures gas on the basis of its forecast of gas throughput.  This forecast is by definition different than the actual gas throughput being used for calculating the posted WACOG and the actual use of gas in any given month.  Given NNG’s policy of ensuring reliability first, NNG will almost always have excess gas procured and thus have a greater portion of its actual monthly usage hedged.  Assume for example that NNG:  (1) predicts that usage in January will be 700 MMcfd and procures supplies accordingly;  (2) adopts a policy of hedging 90% of its January portfolio; (3) had historical usage in the prior January of 600 MMcfd; and (4) actual usage of 800 MMCfd.   NNG’s WACOG would include the hedging costs associated with  540 MMcfd.  NNG’s actual costs would reflect the same hedged price for 675 MMCfd.  Thus, NNG would only be exposed for actual spot prices for 125 MMcfd (rather than 260 MMCfd).</w:t>
      </w:r>
    </w:p>
    <w:p>
      <w:pPr>
        <w:pStyle w:val="Body"/>
        <w:ind w:start="0" w:end="0"/>
        <w:rPr>
          <w:color w:val="000000"/>
        </w:rPr>
      </w:pPr>
      <w:r>
        <w:rPr>
          <w:color w:val="000000"/>
        </w:rPr>
      </w:r>
    </w:p>
    <w:p>
      <w:pPr>
        <w:pStyle w:val="Body"/>
        <w:ind w:start="0" w:end="0"/>
        <w:rPr>
          <w:color w:val="000000"/>
        </w:rPr>
      </w:pPr>
      <w:r>
        <w:rPr>
          <w:color w:val="000000"/>
        </w:rPr>
        <w:t xml:space="preserve">Each of the above mitigating factors points to the simple fact that NNG manages its actual supply on a forecast, daily and monthly basis and has the flexibility to reduce its exposure to price spikes in the indexed price.  </w:t>
      </w:r>
    </w:p>
    <w:p>
      <w:pPr>
        <w:pStyle w:val="Body"/>
        <w:ind w:start="0" w:end="0"/>
        <w:rPr>
          <w:color w:val="000000"/>
        </w:rPr>
      </w:pPr>
      <w:r>
        <w:rPr>
          <w:color w:val="000000"/>
        </w:rPr>
      </w:r>
    </w:p>
    <w:p>
      <w:pPr>
        <w:pStyle w:val="Body"/>
        <w:ind w:start="0" w:end="0"/>
        <w:rPr>
          <w:color w:val="000000"/>
        </w:rPr>
      </w:pPr>
      <w:r>
        <w:rPr>
          <w:color w:val="000000"/>
        </w:rPr>
        <w:t xml:space="preserve">Another mitigating factor is that NNG can seek an out-of-cycle PGA adjustment if the actual WACOG changes more than 10% from the posted WACOG “or for such other reasons as the Commission may approve.”  Note that such an adjustment only provides relief on a going forward basis.  Further, to reflect higher than expected actual spot market prices NNG must fix the spot market price by contract or through a financial hedge.  NNG filed an out-of-cycle PGA in 2000.  </w:t>
      </w:r>
    </w:p>
    <w:p>
      <w:pPr>
        <w:pStyle w:val="Body"/>
        <w:ind w:start="0" w:end="0"/>
        <w:rPr>
          <w:color w:val="000000"/>
        </w:rPr>
      </w:pPr>
      <w:r>
        <w:rPr>
          <w:color w:val="000000"/>
        </w:rPr>
      </w:r>
    </w:p>
    <w:p>
      <w:pPr>
        <w:pStyle w:val="Body"/>
        <w:rPr>
          <w:color w:val="000000"/>
        </w:rPr>
      </w:pPr>
      <w:r>
        <w:rPr>
          <w:color w:val="000000"/>
        </w:rPr>
      </w:r>
    </w:p>
    <w:tbl>
      <w:tblPr>
        <w:tblW w:w="10440" w:type="dxa"/>
        <w:jc w:val="start"/>
        <w:tblInd w:w="198" w:type="dxa"/>
        <w:tblLayout w:type="fixed"/>
        <w:tblCellMar>
          <w:top w:w="0" w:type="dxa"/>
          <w:start w:w="108" w:type="dxa"/>
          <w:bottom w:w="0" w:type="dxa"/>
          <w:end w:w="108" w:type="dxa"/>
        </w:tblCellMar>
      </w:tblPr>
      <w:tblGrid>
        <w:gridCol w:w="2376"/>
        <w:gridCol w:w="2574"/>
        <w:gridCol w:w="2574"/>
        <w:gridCol w:w="2916"/>
      </w:tblGrid>
      <w:tr>
        <w:trPr>
          <w:tblHeader w:val="true"/>
        </w:trPr>
        <w:tc>
          <w:tcPr>
            <w:tcW w:w="2376" w:type="dxa"/>
            <w:tcBorders>
              <w:top w:val="single" w:sz="6" w:space="0" w:color="000000"/>
              <w:start w:val="single" w:sz="6" w:space="0" w:color="000000"/>
              <w:bottom w:val="single" w:sz="6" w:space="0" w:color="000000"/>
              <w:end w:val="single" w:sz="6" w:space="0" w:color="000000"/>
            </w:tcBorders>
            <w:vAlign w:val="center"/>
          </w:tcPr>
          <w:p>
            <w:pPr>
              <w:pStyle w:val="Heading1"/>
              <w:ind w:hanging="0" w:start="0"/>
              <w:rPr>
                <w:rFonts w:ascii="Arial" w:hAnsi="Arial" w:cs="Arial"/>
                <w:b/>
                <w:sz w:val="20"/>
              </w:rPr>
            </w:pPr>
            <w:r>
              <w:rPr>
                <w:rFonts w:cs="Arial" w:ascii="Arial" w:hAnsi="Arial"/>
                <w:b/>
                <w:sz w:val="20"/>
              </w:rPr>
              <w:t xml:space="preserve">Spot prices </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b/>
                <w:sz w:val="20"/>
              </w:rPr>
            </w:pPr>
            <w:r>
              <w:rPr>
                <w:b/>
                <w:sz w:val="20"/>
              </w:rPr>
              <w:t>Throughput</w:t>
            </w:r>
          </w:p>
        </w:tc>
        <w:tc>
          <w:tcPr>
            <w:tcW w:w="2574"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Action Taken</w:t>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jc w:val="center"/>
              <w:rPr>
                <w:b/>
                <w:sz w:val="20"/>
              </w:rPr>
            </w:pPr>
            <w:r>
              <w:rPr>
                <w:b/>
                <w:sz w:val="20"/>
              </w:rPr>
              <w:t>Impact on Revenues</w:t>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Heading2"/>
              <w:ind w:hanging="0" w:start="0"/>
              <w:rPr>
                <w:rFonts w:ascii="Arial" w:hAnsi="Arial" w:cs="Arial"/>
                <w:sz w:val="20"/>
              </w:rPr>
            </w:pPr>
            <w:r>
              <w:rPr>
                <w:rFonts w:cs="Arial" w:ascii="Arial" w:hAnsi="Arial"/>
                <w:sz w:val="20"/>
              </w:rPr>
              <w:t>No Action</w:t>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 xml:space="preserve">No impact on revenues.  All gas costs recovered through PGA rate.  </w:t>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&gt;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Heading2"/>
              <w:ind w:hanging="0" w:start="0"/>
              <w:rPr>
                <w:rFonts w:ascii="Arial" w:hAnsi="Arial" w:cs="Arial"/>
                <w:sz w:val="20"/>
              </w:rPr>
            </w:pPr>
            <w:r>
              <w:rPr>
                <w:rFonts w:cs="Arial" w:ascii="Arial" w:hAnsi="Arial"/>
                <w:sz w:val="20"/>
              </w:rPr>
              <w:t>No Action</w:t>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67% of increased gas cost difference between actual cost of gas and WACOG deferred and recovered.  Current limit for annual amortization is 3%/year.</w:t>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&gt;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 xml:space="preserve">Mid-term PGA on the basis of new gas “known and measurable” gas costs.   </w:t>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67% of increased gas cost difference between actual cost of gas and WACOG deferred and recovered.  Current limit for annual amortization is 3%/year.</w:t>
            </w:r>
          </w:p>
          <w:p>
            <w:pPr>
              <w:pStyle w:val="Normal"/>
              <w:rPr>
                <w:sz w:val="20"/>
              </w:rPr>
            </w:pPr>
            <w:r>
              <w:rPr>
                <w:sz w:val="20"/>
              </w:rPr>
            </w:r>
          </w:p>
          <w:p>
            <w:pPr>
              <w:pStyle w:val="Normal"/>
              <w:rPr>
                <w:sz w:val="20"/>
              </w:rPr>
            </w:pPr>
            <w:r>
              <w:rPr>
                <w:sz w:val="20"/>
              </w:rPr>
              <w:t>WACOG reset to reflect both additional hedging and changes in “historic” index pricing given new PGA period.</w:t>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&lt;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sz w:val="20"/>
              </w:rPr>
            </w:pPr>
            <w:r>
              <w:rPr>
                <w:sz w:val="20"/>
              </w:rPr>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&gt;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Purchase spot gas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sz w:val="20"/>
              </w:rPr>
            </w:pPr>
            <w:r>
              <w:rPr>
                <w:sz w:val="20"/>
              </w:rPr>
            </w:r>
          </w:p>
        </w:tc>
      </w:tr>
      <w:tr>
        <w:trPr>
          <w:trHeight w:val="3396" w:hRule="atLeast"/>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&gt;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&gt;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 xml:space="preserve">Purchase spot gas.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Additional hedging.</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Blend/Extend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sz w:val="20"/>
              </w:rPr>
            </w:pPr>
            <w:r>
              <w:rPr>
                <w:sz w:val="20"/>
              </w:rPr>
            </w:r>
          </w:p>
        </w:tc>
      </w:tr>
      <w:tr>
        <w:trPr/>
        <w:tc>
          <w:tcPr>
            <w:tcW w:w="23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Spot &lt; Historic</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Actual &gt; Forecast</w:t>
            </w:r>
          </w:p>
        </w:tc>
        <w:tc>
          <w:tcPr>
            <w:tcW w:w="2574" w:type="dxa"/>
            <w:tcBorders>
              <w:top w:val="single" w:sz="6" w:space="0" w:color="000000"/>
              <w:start w:val="single" w:sz="6" w:space="0" w:color="000000"/>
              <w:bottom w:val="single" w:sz="6" w:space="0" w:color="000000"/>
              <w:end w:val="single" w:sz="6" w:space="0" w:color="000000"/>
            </w:tcBorders>
            <w:vAlign w:val="center"/>
          </w:tcPr>
          <w:p>
            <w:pPr>
              <w:pStyle w:val="Normal"/>
              <w:rPr>
                <w:sz w:val="20"/>
              </w:rPr>
            </w:pPr>
            <w:r>
              <w:rPr>
                <w:sz w:val="20"/>
              </w:rPr>
              <w:t>Purchase spot gas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c>
          <w:tcPr>
            <w:tcW w:w="291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sz w:val="20"/>
              </w:rPr>
            </w:pPr>
            <w:r>
              <w:rPr>
                <w:sz w:val="20"/>
              </w:rPr>
            </w:r>
          </w:p>
        </w:tc>
      </w:tr>
    </w:tbl>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jc w:val="center"/>
        <w:rPr>
          <w:color w:val="000000"/>
        </w:rPr>
      </w:pPr>
      <w:r>
        <w:rPr>
          <w:color w:val="000000"/>
        </w:rPr>
        <w:t>^^^</w:t>
      </w:r>
    </w:p>
    <w:p>
      <w:pPr>
        <w:pStyle w:val="Body"/>
        <w:jc w:val="center"/>
        <w:rPr>
          <w:color w:val="000000"/>
        </w:rPr>
      </w:pPr>
      <w:r>
        <w:rPr>
          <w:color w:val="000000"/>
        </w:rPr>
      </w:r>
    </w:p>
    <w:p>
      <w:pPr>
        <w:pStyle w:val="Body"/>
        <w:rPr>
          <w:color w:val="000000"/>
        </w:rPr>
      </w:pPr>
      <w:r>
        <w:rPr>
          <w:color w:val="000000"/>
        </w:rPr>
        <w:t>Please contact me if you have any questions concerning this memorandum or the attachments.  I’ll be out of the office Wednesday through Friday of this week, but will be checking voicemail.  For your information, I have also attached an “Clearing Up” article about the Sierra Oregon filing.  Clearing Up is a trade journal for the utility industry that is widely read in the Pacfic Northwest.</w:t>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jc w:val="center"/>
        <w:rPr>
          <w:color w:val="000000"/>
        </w:rPr>
      </w:pPr>
      <w:r>
        <w:rPr>
          <w:color w:val="000000"/>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8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 </w:instrText>
    </w:r>
    <w:r>
      <w:rPr/>
      <w:fldChar w:fldCharType="separate"/>
    </w:r>
    <w:r>
      <w:rPr/>
      <w:t>9/28/25</w:t>
    </w:r>
    <w:r>
      <w:rPr/>
      <w:fldChar w:fldCharType="end"/>
    </w:r>
    <w:r>
      <w:rPr/>
      <w:tab/>
      <w:t xml:space="preserve">Page </w:t>
    </w:r>
    <w:r>
      <w:rPr/>
      <w:fldChar w:fldCharType="begin"/>
    </w:r>
    <w:r>
      <w:rPr/>
      <w:instrText xml:space="preserve"> PAGE </w:instrText>
    </w:r>
    <w:r>
      <w:rPr/>
      <w:fldChar w:fldCharType="separate"/>
    </w:r>
    <w:r>
      <w:rPr/>
      <w:t>6</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jc w:val="center"/>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2001-08-15T20:34:00Z</dcterms:created>
  <dc:creator>Jeff Ford</dc:creator>
  <dc:description/>
  <dc:language>en-CA</dc:language>
  <cp:lastModifiedBy>pkaufma</cp:lastModifiedBy>
  <cp:lastPrinted>2000-04-21T06:54:00Z</cp:lastPrinted>
  <dcterms:modified xsi:type="dcterms:W3CDTF">2001-08-15T20:56:00Z</dcterms:modified>
  <cp:revision>3</cp:revision>
  <dc:subject>Comments on Load Forecasting/Data Requirements Proposed Regulations</dc:subject>
  <dc:title>Eron Capital &amp; Trade Resources Memo</dc:title>
</cp:coreProperties>
</file>