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w:t>
      </w:r>
    </w:p>
    <w:p>
      <w:pPr>
        <w:pStyle w:val="Normal"/>
        <w:jc w:val="center"/>
        <w:rPr>
          <w:b/>
        </w:rPr>
      </w:pPr>
      <w:r>
        <w:rPr>
          <w:b/>
        </w:rPr>
      </w:r>
    </w:p>
    <w:p>
      <w:pPr>
        <w:pStyle w:val="Normal"/>
        <w:jc w:val="center"/>
        <w:rPr>
          <w:b/>
        </w:rPr>
      </w:pPr>
      <w:r>
        <w:rPr>
          <w:b/>
        </w:rPr>
        <w:t>MINUTES</w:t>
      </w:r>
    </w:p>
    <w:p>
      <w:pPr>
        <w:pStyle w:val="Normal"/>
        <w:tabs>
          <w:tab w:val="clear" w:pos="720"/>
          <w:tab w:val="right" w:pos="7159" w:leader="none"/>
        </w:tabs>
        <w:jc w:val="center"/>
        <w:rPr>
          <w:b/>
        </w:rPr>
      </w:pPr>
      <w:r>
        <w:rPr>
          <w:b/>
        </w:rPr>
        <w:t>MEETING OF THE BOARD OF DIRECTORS</w:t>
      </w:r>
    </w:p>
    <w:p>
      <w:pPr>
        <w:pStyle w:val="Normal"/>
        <w:tabs>
          <w:tab w:val="clear" w:pos="720"/>
          <w:tab w:val="right" w:pos="7159" w:leader="none"/>
        </w:tabs>
        <w:jc w:val="center"/>
        <w:rPr>
          <w:b/>
        </w:rPr>
      </w:pPr>
      <w:r>
        <w:rPr>
          <w:b/>
        </w:rPr>
        <w:t>ENRON CORP.</w:t>
      </w:r>
    </w:p>
    <w:p>
      <w:pPr>
        <w:pStyle w:val="Normal"/>
        <w:tabs>
          <w:tab w:val="clear" w:pos="720"/>
          <w:tab w:val="right" w:pos="7159" w:leader="none"/>
        </w:tabs>
        <w:jc w:val="center"/>
        <w:rPr>
          <w:b/>
        </w:rPr>
      </w:pPr>
      <w:r>
        <w:rPr>
          <w:b/>
        </w:rPr>
        <w:t>AUGUST 13 -14, 2001</w:t>
      </w:r>
    </w:p>
    <w:p>
      <w:pPr>
        <w:pStyle w:val="Normal"/>
        <w:ind w:firstLine="720" w:end="0"/>
        <w:jc w:val="both"/>
        <w:rPr>
          <w:b/>
        </w:rPr>
      </w:pPr>
      <w:r>
        <w:rPr>
          <w:b/>
        </w:rPr>
      </w:r>
    </w:p>
    <w:p>
      <w:pPr>
        <w:pStyle w:val="Normal"/>
        <w:ind w:firstLine="720" w:end="0"/>
        <w:jc w:val="both"/>
        <w:rPr/>
      </w:pPr>
      <w:r>
        <w:rPr/>
        <w:t xml:space="preserve">Minutes of a meeting of the Board of Directors of Enron Corp. ("Company") noticed to begin at 7:00 p.m., C.D.T., but actually begun at 7:30 p.m., C.D.T., on August 13, 2001 at the Four Seasons Hotel, Austin Room, in Houston, Texas. </w:t>
      </w:r>
    </w:p>
    <w:p>
      <w:pPr>
        <w:pStyle w:val="Normal"/>
        <w:ind w:firstLine="720" w:end="0"/>
        <w:jc w:val="both"/>
        <w:rPr/>
      </w:pPr>
      <w:r>
        <w:rPr/>
      </w:r>
    </w:p>
    <w:p>
      <w:pPr>
        <w:pStyle w:val="BodyTextIndent"/>
        <w:ind w:firstLine="656" w:end="0"/>
        <w:rPr>
          <w:sz w:val="26"/>
        </w:rPr>
      </w:pPr>
      <w:r>
        <w:rPr>
          <w:sz w:val="26"/>
        </w:rPr>
        <w:t>All of the Directors were present as follows:</w:t>
      </w:r>
    </w:p>
    <w:p>
      <w:pPr>
        <w:pStyle w:val="Normal"/>
        <w:jc w:val="both"/>
        <w:rPr>
          <w:sz w:val="26"/>
        </w:rPr>
      </w:pPr>
      <w:r>
        <w:rPr>
          <w:sz w:val="26"/>
        </w:rPr>
      </w:r>
    </w:p>
    <w:p>
      <w:pPr>
        <w:pStyle w:val="Normal"/>
        <w:ind w:start="1469" w:end="0"/>
        <w:jc w:val="both"/>
        <w:rPr/>
      </w:pPr>
      <w:r>
        <w:rPr/>
        <w:t xml:space="preserve">Mr. Kenneth L. Lay, Chairman </w:t>
      </w:r>
    </w:p>
    <w:p>
      <w:pPr>
        <w:pStyle w:val="Normal"/>
        <w:ind w:start="1469" w:end="0"/>
        <w:jc w:val="both"/>
        <w:rPr/>
      </w:pPr>
      <w:r>
        <w:rPr/>
        <w:t>Mr. Robert A. Belfer</w:t>
      </w:r>
    </w:p>
    <w:p>
      <w:pPr>
        <w:pStyle w:val="Normal"/>
        <w:ind w:start="1469" w:end="0"/>
        <w:jc w:val="both"/>
        <w:rPr/>
      </w:pPr>
      <w:r>
        <w:rPr/>
        <w:t>Mr. Norman P. Blake, Jr.</w:t>
      </w:r>
    </w:p>
    <w:p>
      <w:pPr>
        <w:pStyle w:val="Normal"/>
        <w:ind w:start="1469" w:end="0"/>
        <w:jc w:val="both"/>
        <w:rPr/>
      </w:pPr>
      <w:r>
        <w:rPr/>
        <w:t>Mr. Ronnie C. Chan</w:t>
      </w:r>
    </w:p>
    <w:p>
      <w:pPr>
        <w:pStyle w:val="Normal"/>
        <w:ind w:start="1469" w:end="0"/>
        <w:jc w:val="both"/>
        <w:rPr/>
      </w:pPr>
      <w:r>
        <w:rPr/>
        <w:t>Mr. John H. Duncan</w:t>
      </w:r>
    </w:p>
    <w:p>
      <w:pPr>
        <w:pStyle w:val="Normal"/>
        <w:ind w:start="1469" w:end="0"/>
        <w:jc w:val="both"/>
        <w:rPr/>
      </w:pPr>
      <w:r>
        <w:rPr/>
        <w:t xml:space="preserve">Dr. Wendy L. Gramm </w:t>
      </w:r>
    </w:p>
    <w:p>
      <w:pPr>
        <w:pStyle w:val="Normal"/>
        <w:ind w:start="1469" w:end="0"/>
        <w:jc w:val="both"/>
        <w:rPr/>
      </w:pPr>
      <w:r>
        <w:rPr/>
        <w:t xml:space="preserve">Dr. Robert K. Jaedicke </w:t>
      </w:r>
    </w:p>
    <w:p>
      <w:pPr>
        <w:pStyle w:val="Heading2"/>
        <w:jc w:val="both"/>
        <w:rPr>
          <w:sz w:val="26"/>
        </w:rPr>
      </w:pPr>
      <w:r>
        <w:rPr>
          <w:sz w:val="26"/>
        </w:rPr>
        <w:t>Dr. Charles A. LeMaistre</w:t>
      </w:r>
    </w:p>
    <w:p>
      <w:pPr>
        <w:pStyle w:val="Normal"/>
        <w:ind w:start="1469" w:end="0"/>
        <w:jc w:val="both"/>
        <w:rPr/>
      </w:pPr>
      <w:r>
        <w:rPr/>
        <w:t>Dr. John Mendelsohn</w:t>
      </w:r>
    </w:p>
    <w:p>
      <w:pPr>
        <w:pStyle w:val="Normal"/>
        <w:ind w:start="1469" w:end="0"/>
        <w:jc w:val="both"/>
        <w:rPr/>
      </w:pPr>
      <w:r>
        <w:rPr/>
        <w:t>Mr. Paulo Ferraz Pereira</w:t>
      </w:r>
    </w:p>
    <w:p>
      <w:pPr>
        <w:pStyle w:val="Normal"/>
        <w:ind w:start="1469" w:end="0"/>
        <w:jc w:val="both"/>
        <w:rPr/>
      </w:pPr>
      <w:r>
        <w:rPr/>
        <w:t>Mr. Frank Savage</w:t>
      </w:r>
    </w:p>
    <w:p>
      <w:pPr>
        <w:pStyle w:val="Normal"/>
        <w:ind w:start="1469" w:end="0"/>
        <w:jc w:val="both"/>
        <w:rPr/>
      </w:pPr>
      <w:r>
        <w:rPr/>
        <w:t>Mr. Jeffrey K. Skilling</w:t>
      </w:r>
    </w:p>
    <w:p>
      <w:pPr>
        <w:pStyle w:val="Normal"/>
        <w:ind w:start="1469" w:end="0"/>
        <w:jc w:val="both"/>
        <w:rPr/>
      </w:pPr>
      <w:r>
        <w:rPr/>
        <w:t>Lord John Wakeham</w:t>
      </w:r>
    </w:p>
    <w:p>
      <w:pPr>
        <w:pStyle w:val="Normal"/>
        <w:ind w:start="1469" w:end="0"/>
        <w:jc w:val="both"/>
        <w:rPr/>
      </w:pPr>
      <w:r>
        <w:rPr/>
        <w:t>Mr. Herbert S. Winokur, Jr.</w:t>
      </w:r>
    </w:p>
    <w:p>
      <w:pPr>
        <w:pStyle w:val="Normal"/>
        <w:jc w:val="both"/>
        <w:rPr/>
      </w:pPr>
      <w:r>
        <w:rPr/>
      </w:r>
    </w:p>
    <w:p>
      <w:pPr>
        <w:pStyle w:val="Normal"/>
        <w:ind w:firstLine="744" w:end="0"/>
        <w:jc w:val="both"/>
        <w:rPr/>
      </w:pPr>
      <w:r>
        <w:rPr/>
        <w:t xml:space="preserve">Messrs. Richard A. Causey, Andrew S. Fastow, and Mark E. Koenig and Ms. Rebecca C. Carter, all of the Company or affiliates thereof, and Mr. Richard N. Foster of McKinsey &amp; Company, Inc., also attended the meeting. </w:t>
      </w:r>
    </w:p>
    <w:p>
      <w:pPr>
        <w:pStyle w:val="Footer"/>
        <w:widowControl/>
        <w:tabs>
          <w:tab w:val="clear" w:pos="0"/>
          <w:tab w:val="clear" w:pos="4320"/>
          <w:tab w:val="clear" w:pos="8640"/>
          <w:tab w:val="clear" w:pos="9360"/>
        </w:tabs>
        <w:jc w:val="both"/>
        <w:rPr>
          <w:rFonts w:ascii="Times New Roman" w:hAnsi="Times New Roman" w:cs="Times New Roman"/>
          <w:sz w:val="26"/>
        </w:rPr>
      </w:pPr>
      <w:r>
        <w:rPr>
          <w:rFonts w:cs="Times New Roman" w:ascii="Times New Roman" w:hAnsi="Times New Roman"/>
          <w:sz w:val="26"/>
        </w:rPr>
      </w:r>
    </w:p>
    <w:p>
      <w:pPr>
        <w:pStyle w:val="Normal"/>
        <w:ind w:firstLine="744" w:end="0"/>
        <w:jc w:val="both"/>
        <w:rPr/>
      </w:pPr>
      <w:r>
        <w:rPr/>
        <w:t>The Chairman, Mr. Lay, presided at the meeting, and the Secretary, Ms. Carter, recorded the proceedings.</w:t>
      </w:r>
    </w:p>
    <w:p>
      <w:pPr>
        <w:pStyle w:val="Normal"/>
        <w:ind w:firstLine="768" w:end="0"/>
        <w:jc w:val="both"/>
        <w:rPr/>
      </w:pPr>
      <w:r>
        <w:rPr/>
      </w:r>
    </w:p>
    <w:p>
      <w:pPr>
        <w:pStyle w:val="Normal"/>
        <w:ind w:firstLine="720" w:end="0"/>
        <w:jc w:val="both"/>
        <w:rPr/>
      </w:pPr>
      <w:r>
        <w:rPr/>
        <w:t>Mr. Lay called upon Mr. Causey for the Financial and Earnings report, a copy of which is filed with the records of the meeting.  Mr. Causey compared the second quarter and six months ended June 30, 2001 plan and actual diluted earnings per share (“EPS”) and noted that the second quarter actual earnings were 15% higher than the plan.  He then reviewed the second quarter and six months net income by business unit and discussed variations from the plan.  He noted that the Wholesale Americas group continued to considerably outperform the plan and that the Global Assets group’s earnings in the second quarter were negatively impacted by rationing at Electro and the lack of dispatching of the Dabhol facility.  He noted that there was a 32% and a 26% growth from the prior year second quarter and six months recurring EPS, respectively.  He then discussed the earnings by business segment and noted that Corporate and Other decreased significantly primarily due to the performance of Azurix and certain costs associated with the broadband business.  He then reviewed the balance sheet debt activity for the first six months of 2001 and the estimated full year 2001.  He noted that the change in working capital primarily related to increased margin activity and that it excluded margin deposit activity.  He stated that the proceeds from sales of assets related to the sale of Houston Pipe Line and certain peaker power plants.</w:t>
      </w:r>
    </w:p>
    <w:p>
      <w:pPr>
        <w:pStyle w:val="Normal"/>
        <w:ind w:firstLine="720" w:end="0"/>
        <w:jc w:val="both"/>
        <w:rPr/>
      </w:pPr>
      <w:r>
        <w:rPr/>
      </w:r>
    </w:p>
    <w:p>
      <w:pPr>
        <w:pStyle w:val="Normal"/>
        <w:ind w:firstLine="720" w:end="0"/>
        <w:jc w:val="both"/>
        <w:rPr/>
      </w:pPr>
      <w:r>
        <w:rPr/>
        <w:t xml:space="preserve">Mr. Lay called upon Mr. Koenig for the Investor Relations report, a copy of which is filed with the records of the meeting. Mr. Koenig reviewed the Company's total return to shareholders (“TRS”) from the beginning of the year through August 8, 2001 as compared to the Dow Jones Industrial Average, S&amp;P 500, NASDAQ, and the Company’s energy and broadband peer groups.  He then reviewed the Company’s TRS as compared to specific energy companies within the energy peer group and stated that the delta related to the Company’s exposure to the decline in the broadband sector.  He reported on the Company’s price-to-earnings valuations as of December 31, 2000 and August 8, 2001, compared them to that of the S&amp;P 500 and the Company’s peer group, and noted that the Company’s premium to its peer group had been maintained over the period.  </w:t>
      </w:r>
    </w:p>
    <w:p>
      <w:pPr>
        <w:pStyle w:val="Normal"/>
        <w:ind w:firstLine="720" w:end="0"/>
        <w:jc w:val="both"/>
        <w:rPr/>
      </w:pPr>
      <w:r>
        <w:rPr/>
      </w:r>
    </w:p>
    <w:p>
      <w:pPr>
        <w:pStyle w:val="Normal"/>
        <w:ind w:firstLine="720" w:end="0"/>
        <w:jc w:val="both"/>
        <w:rPr/>
      </w:pPr>
      <w:r>
        <w:rPr/>
        <w:t>Mr. Koenig then moved to a discussion of recent investor concerns regarding the Company and the manner in which the Investor Relations group was addressing each of the specific concerns.  He stated that, in regards to the situation in California, the Company was fully reserved for any receivables exposure, there were minimal potential wholesale refunds, and the Company was near resolution/compliance regarding the issue of being in contempt of court in the state.  He then updated the Board on the status of the Dabhol power project in India.  He stated that the customer had multiple defaults and had repudiated the contract with the Company.  He noted that the Company and the lenders were pursuing well-defined contractual remedies.  He then reviewed the steps being taken by Enron Broadband Services to reduce general and administrative costs within the business unit to address the issue of a slowdown in the technology sector.  He commented on investors’ concerns regarding the Company’s cash flow during the first half of 2001, noted that the cash flow from operations had been negative, and stated that it primarily related to the impact of a change in the margin deposits during the period as compared to prior periods.  He then discussed the issue of the Company’s use of off-balance sheet transactions as a funding mechanism.  He stated that this method of funding provided a cost-effective manner to expand the Company’s credit capacity.  He also noted that Mr. Fastow’s general partner role in the LJM investment vehicles was being eliminated.  He then discussed the Company’s business approach in the Wholesale Services group and contrasted it to other companies’ approaches.</w:t>
      </w:r>
    </w:p>
    <w:p>
      <w:pPr>
        <w:pStyle w:val="Normal"/>
        <w:ind w:firstLine="720" w:end="0"/>
        <w:jc w:val="both"/>
        <w:rPr/>
      </w:pPr>
      <w:r>
        <w:rPr/>
      </w:r>
    </w:p>
    <w:p>
      <w:pPr>
        <w:pStyle w:val="Normal"/>
        <w:ind w:firstLine="720" w:end="0"/>
        <w:jc w:val="both"/>
        <w:rPr/>
      </w:pPr>
      <w:r>
        <w:rPr/>
        <w:t>Mr. Koenig then discussed the Company’s largest shareholders and changes in ownership since March 31, 2001, particularly increased ownership by Putnam Investment Management, Inc., Alliance Capital Management L.P., AIM Management Group, and the Government of Singapore Investment Corp.  He commented on the current analyst recommendations and noted that the majority were strong buys, buys, or accumulates.</w:t>
      </w:r>
    </w:p>
    <w:p>
      <w:pPr>
        <w:pStyle w:val="Normal"/>
        <w:ind w:firstLine="720" w:end="0"/>
        <w:jc w:val="both"/>
        <w:rPr/>
      </w:pPr>
      <w:r>
        <w:rPr/>
      </w:r>
    </w:p>
    <w:p>
      <w:pPr>
        <w:pStyle w:val="Normal"/>
        <w:ind w:firstLine="720" w:end="0"/>
        <w:jc w:val="both"/>
        <w:rPr/>
      </w:pPr>
      <w:r>
        <w:rPr/>
        <w:t>Mr. Lay then called for an Executive Session at 8:10 p.m., C.D.T. and Messrs. Causey, Fastow, and Koenig and Ms. Carter left the meeting.  During the Executive session Mr. Skilling discussed his intention to resign as President and CEO of the Company. Mr. Skilling left the meeting at 8:40 p.m., C.D.T.  Following Mr. Skilling’s departure the Board discussed Mr. Skilling’s proposed resignation.  Mr. Lay recessed the meeting at 9:40 p.m., C.D.T. on August 13, 2001.</w:t>
      </w:r>
    </w:p>
    <w:p>
      <w:pPr>
        <w:pStyle w:val="Normal"/>
        <w:ind w:firstLine="720" w:end="0"/>
        <w:jc w:val="both"/>
        <w:rPr/>
      </w:pPr>
      <w:r>
        <w:rPr/>
      </w:r>
    </w:p>
    <w:p>
      <w:pPr>
        <w:pStyle w:val="Normal"/>
        <w:ind w:firstLine="720" w:end="0"/>
        <w:jc w:val="both"/>
        <w:rPr/>
      </w:pPr>
      <w:r>
        <w:rPr/>
        <w:t xml:space="preserve">The meeting reconvened in Open Session at 8:10 a.m., C.D.T. on August 14, 2001 at the Enron Building, Houston, Texas.  All of the Directors noted in attendance on the previous evening returned to the meeting and Messrs. Robert B. Butts, Richard A. Causey, David W. Delainey, James V. Derrick, Jr., James B. Fallon, Andrew S. Fastow, Mark A. Frevert, Steven J. Kean, Michael S. McConnell, Kenneth D. Rice, Jeffrey A. Shankman, and L. Greg Whalley and Mesdames Rebecca C. Carter and Rosalee T. Fleming, all of the Company or affiliates thereof, and Mr. Richard N. Foster, of McKinsey &amp; Company, Inc., also attended the meeting. </w:t>
      </w:r>
    </w:p>
    <w:p>
      <w:pPr>
        <w:pStyle w:val="Normal"/>
        <w:jc w:val="both"/>
        <w:rPr/>
      </w:pPr>
      <w:r>
        <w:rPr/>
      </w:r>
    </w:p>
    <w:p>
      <w:pPr>
        <w:pStyle w:val="Normal"/>
        <w:jc w:val="both"/>
        <w:rPr/>
      </w:pPr>
      <w:r>
        <w:rPr/>
        <w:tab/>
        <w:t>Mr. Lay called upon Mr. Fallon to begin the Enron Broadband Services (“EBS”) presentation, a copy of which is filed with the records of the meeting.  Mr. Fallon presented a chart depicting EBS’s three areas of focus: intermediation services (“IS”), the Enron Intelligent Network (“EIN”), and content services (“CS”).  He stated that in the IS area EBS had completed over 1500 transactions with 165 counterparties.  He noted that the EIN was primarily based in the U.S., had 21,000 miles of fiber, and had 28 pooling points.  He stated that the CS business was focused on delivering video-on-demand.</w:t>
      </w:r>
    </w:p>
    <w:p>
      <w:pPr>
        <w:pStyle w:val="Normal"/>
        <w:jc w:val="both"/>
        <w:rPr/>
      </w:pPr>
      <w:r>
        <w:rPr/>
      </w:r>
    </w:p>
    <w:p>
      <w:pPr>
        <w:pStyle w:val="Normal"/>
        <w:ind w:firstLine="720" w:end="0"/>
        <w:jc w:val="both"/>
        <w:rPr/>
      </w:pPr>
      <w:r>
        <w:rPr/>
        <w:t>He then began a discussion the current status of the telecommunications market.  He stated there had been excessive capital investment and a build-out of new fiber networks over the past few years.  He noted that the growth in demand remained consistent and strong but had not met the explosive expectations.  He noted that this had led to an oversupply of capacity and price declines of as much as 90% in some areas.  He stated that management was anticipating additional declines over the next few years.  He then commented that the credit quality of counterparties had deteriorated significantly and many bankruptcies had occurred.  He stated that this had impacted a significant number of the intermediaries that EBS had expected to transact with.  He noted that the decline of the telecommunications market had happened globally but that the U.S. had experienced it to a greater extent.  He noted that only 5% of the U.S. dark fiber currently in place had been “lit” and that additional capital would be required to light the remaining fiber.  He then answered questions from the Board regarding the telecommunications market and discussed the potential for the Company to acquire “distressed assets”.</w:t>
      </w:r>
    </w:p>
    <w:p>
      <w:pPr>
        <w:pStyle w:val="Normal"/>
        <w:ind w:firstLine="720" w:end="0"/>
        <w:jc w:val="both"/>
        <w:rPr/>
      </w:pPr>
      <w:r>
        <w:rPr/>
      </w:r>
    </w:p>
    <w:p>
      <w:pPr>
        <w:pStyle w:val="Normal"/>
        <w:ind w:firstLine="720" w:end="0"/>
        <w:jc w:val="both"/>
        <w:rPr/>
      </w:pPr>
      <w:r>
        <w:rPr/>
        <w:t>Mr. Fallon then began a discussion of EBS’s response to the decline in the market.  He reviewed the 2001 original plan and the 2001 and 2002 current forecasts for expenses, capital expenditures, and headcount.  He stated that management was continuing to analyze the situation and would make additional reductions as necessary.  He stated that EBS’s goals going forward were as follows: 1) gain further traction in the risk management and origination functions, 2) actively manage its global asset position to optimize utilization, 3) leverage the implementation of a transaction with Microsoft to further develop EBS’s internet protocol business, 4) further develop emerging businesses, and 5) maintain a commercial presence in Europe and Asia.  He noted that management was currently evaluating the CS business and would be making a determination on how to proceed in that area.</w:t>
      </w:r>
    </w:p>
    <w:p>
      <w:pPr>
        <w:pStyle w:val="Normal"/>
        <w:ind w:firstLine="720" w:end="0"/>
        <w:jc w:val="both"/>
        <w:rPr/>
      </w:pPr>
      <w:r>
        <w:rPr/>
      </w:r>
    </w:p>
    <w:p>
      <w:pPr>
        <w:pStyle w:val="Normal"/>
        <w:ind w:firstLine="720" w:end="0"/>
        <w:jc w:val="both"/>
        <w:rPr/>
      </w:pPr>
      <w:r>
        <w:rPr/>
        <w:t>Mr. Whalley left the meeting following Mr. Fallon’s presentation.</w:t>
      </w:r>
    </w:p>
    <w:p>
      <w:pPr>
        <w:pStyle w:val="Normal"/>
        <w:jc w:val="both"/>
        <w:rPr/>
      </w:pPr>
      <w:r>
        <w:rPr/>
      </w:r>
    </w:p>
    <w:p>
      <w:pPr>
        <w:pStyle w:val="Normal"/>
        <w:jc w:val="both"/>
        <w:rPr/>
      </w:pPr>
      <w:r>
        <w:rPr/>
        <w:tab/>
        <w:t>Mr. Lay called upon Messrs. McConnell and Shankman to begin the Enron Global Markets (“EGM”) presentation, a copy of which is filed with the records of the meeting.  Mr. McConnell began by stating that EGM’s strategy was to model its business by utilizing the knowledge the Company had gained regarding what had been successful in other markets.  He noted that EGM was focusing on areas that had significant growth potential and had not previously been focused on by the Company.  He noted that EGM was concentrating on global markets and commodities outside of the Company’s traditional gas and power markets.  He stated that EGM was providing a true network for market-making opportunities related to commodities that were highly liquid in physical or financial terms and were enormous in market size.  He noted that EGM was leveraging the value of the Company’s existing network and international asset positions and that operations would coordinate with the Company’s North American, European, Australian, and Japanese businesses.</w:t>
      </w:r>
    </w:p>
    <w:p>
      <w:pPr>
        <w:pStyle w:val="Normal"/>
        <w:jc w:val="both"/>
        <w:rPr/>
      </w:pPr>
      <w:r>
        <w:rPr/>
      </w:r>
    </w:p>
    <w:p>
      <w:pPr>
        <w:pStyle w:val="Normal"/>
        <w:jc w:val="both"/>
        <w:rPr/>
      </w:pPr>
      <w:r>
        <w:rPr/>
        <w:tab/>
        <w:t>Mr. McConnell then began a discussion of EGM’s key accomplishments.  He stated that EGM had added significant intellectual capital and earnings to the Wholesale Services group and commented on EGM’s year-to-date gross margin.  He noted that EGM now viewed itself as core to the Company’s operations and would be focused on financial targets.  He then reviewed EGM’s earnings growth from 1998 to 2001, stated that the business was focused on global markets, and presented a map depicting the areas where EGM had established a presence.  He then presented EGM’s organizational chart and stated that there had been significant changes made to the leadership structure.</w:t>
      </w:r>
    </w:p>
    <w:p>
      <w:pPr>
        <w:pStyle w:val="Normal"/>
        <w:jc w:val="both"/>
        <w:rPr/>
      </w:pPr>
      <w:r>
        <w:rPr/>
      </w:r>
    </w:p>
    <w:p>
      <w:pPr>
        <w:pStyle w:val="Normal"/>
        <w:jc w:val="both"/>
        <w:rPr/>
      </w:pPr>
      <w:r>
        <w:rPr/>
        <w:tab/>
        <w:t>Mr. McConnell then began a discussion of the specific areas where EGM was focusing its efforts.  He noted that the crude and products market was estimated at $3 trillion per year and that EGM was narrowing its focus to products where it had a competitive advantage.  He stated that all products were actively being transacted via EnronOnline and that EGM was the largest non-integrated petrochemical marketer in the world.  He reviewed the physical barrels transacted in 2000 and 2001 and noted that growth would be accelerated through increased marketing, penetration of online markets, geographic and product expansion, and a greater physical presence in key markets.  He then discussed the crude and products group’s goals, including: 1) increasing its gross margin, 2) reorganizing to better focus on key business areas, 3) developing an origination group, 4) creating a global mid-marketing function, 5) expanding EnronOnline product offerings and transactions, and 6) increasing physical volumes.</w:t>
      </w:r>
    </w:p>
    <w:p>
      <w:pPr>
        <w:pStyle w:val="Normal"/>
        <w:jc w:val="both"/>
        <w:rPr/>
      </w:pPr>
      <w:r>
        <w:rPr/>
      </w:r>
    </w:p>
    <w:p>
      <w:pPr>
        <w:pStyle w:val="Normal"/>
        <w:jc w:val="both"/>
        <w:rPr/>
      </w:pPr>
      <w:r>
        <w:rPr/>
        <w:tab/>
        <w:t>Mr. McConnell then commented on the $40 billion per year coal market.  He stated that EGM was the largest domestic coal market maker and the leader in risk management products and services.  He noted that EGM combined producer financing, marketing, trading, transportation, and emissions technology to provide services to its customers.  He stated that there were numerous avenues for growth and that EGM was currently expanding into the Asian markets.  He reviewed the tons of domestic and international coal traded from 1999 through 2001 and commented on the reason for the decline in domestic tons from 2000 to 2001.  He then discussed EGM’s foray into the shipping industry and stated that it was the leading market maker of vessel freight and was providing transparency, liquidity, and long-dated market making to the international freight market.  He commented on the vessel tons traded in 2000 and 2001 and noted that EGM was making an online market for three liquid markets: Colombia to Europe, South Africa to Europe, and the U.S. Gulf to Japan.  He then called upon Mr. Shankman to discuss EGM’s other businesses.</w:t>
      </w:r>
    </w:p>
    <w:p>
      <w:pPr>
        <w:pStyle w:val="Normal"/>
        <w:jc w:val="both"/>
        <w:rPr/>
      </w:pPr>
      <w:r>
        <w:rPr/>
      </w:r>
    </w:p>
    <w:p>
      <w:pPr>
        <w:pStyle w:val="Normal"/>
        <w:jc w:val="both"/>
        <w:rPr/>
      </w:pPr>
      <w:r>
        <w:rPr/>
        <w:tab/>
        <w:t>Mr. Shankman stated that LNG was an $18 billion per year market and that EGM was creating a global network of LNG supplies, transportation, terminals, and markets to maximize optionality.  He noted that EGM was gaining access to a broader network of terminals and was marketing and optimizing the use of Company’s LNG vessels.  He stated that EGM was developing an online market making network, creating an Asian hub, and developing projects in the Bahamas and Venezuela.  He commented on the LNG group’s gross margin and earnings targets and noted that the group was also working on the Dabhol project’s LNG supply and ensuring that the Company’s two LNG vessels were built to specifications and were optimally utilized.</w:t>
      </w:r>
    </w:p>
    <w:p>
      <w:pPr>
        <w:pStyle w:val="Normal"/>
        <w:jc w:val="both"/>
        <w:rPr/>
      </w:pPr>
      <w:r>
        <w:rPr/>
      </w:r>
    </w:p>
    <w:p>
      <w:pPr>
        <w:pStyle w:val="Normal"/>
        <w:jc w:val="both"/>
        <w:rPr/>
      </w:pPr>
      <w:r>
        <w:rPr/>
        <w:tab/>
        <w:t>Mr. Whalley returned to the meeting.</w:t>
      </w:r>
    </w:p>
    <w:p>
      <w:pPr>
        <w:pStyle w:val="Normal"/>
        <w:jc w:val="both"/>
        <w:rPr/>
      </w:pPr>
      <w:r>
        <w:rPr/>
      </w:r>
    </w:p>
    <w:p>
      <w:pPr>
        <w:pStyle w:val="Normal"/>
        <w:jc w:val="both"/>
        <w:rPr/>
      </w:pPr>
      <w:r>
        <w:rPr/>
        <w:tab/>
        <w:t>Mr. Shankman then began a discussion of EGM’s weather business by noting that the weather market was conceptually estimated at over $1 trillion per year.  He stated that EGM was the largest weather market maker in the world, was transacting in all lower 48 states and ten countries, and was expecting extensive growth by developing new products and markets.  He noted that the Company was the largest aggregator of positions naturally exposed to weather due to Enron Energy Services, LLC and that EGM was establishing strongholds in Europe, Japan, and Australia.  Mr. Shankman then answered questions from the Board regarding opportunities for the Company.</w:t>
      </w:r>
    </w:p>
    <w:p>
      <w:pPr>
        <w:pStyle w:val="Normal"/>
        <w:jc w:val="both"/>
        <w:rPr/>
      </w:pPr>
      <w:r>
        <w:rPr/>
      </w:r>
    </w:p>
    <w:p>
      <w:pPr>
        <w:pStyle w:val="Normal"/>
        <w:jc w:val="both"/>
        <w:rPr/>
      </w:pPr>
      <w:r>
        <w:rPr/>
        <w:tab/>
        <w:t>Mr. Rice left the meeting.</w:t>
      </w:r>
    </w:p>
    <w:p>
      <w:pPr>
        <w:pStyle w:val="Normal"/>
        <w:jc w:val="both"/>
        <w:rPr/>
      </w:pPr>
      <w:r>
        <w:rPr/>
      </w:r>
    </w:p>
    <w:p>
      <w:pPr>
        <w:pStyle w:val="Normal"/>
        <w:jc w:val="both"/>
        <w:rPr/>
      </w:pPr>
      <w:r>
        <w:rPr/>
        <w:tab/>
        <w:t>Mr. Shankman then briefly discussed the freight and insurance markets.  He reviewed the size of the markets and EGM’s strategy for further developing its participation in the markets.  He then reviewed EGM’s financial trading group, noted that it provided risk management activities in foreign exchange, interest rates, and equities and managed a $5.9 billion global portfolio of commodity cash flow.  He stated that the financial trading group’s primary function was to manage the Company’s needs internally.  He stated that EGM had also established the fundamentals research group to provide industry and commodity research for all of the EGM business units.</w:t>
      </w:r>
    </w:p>
    <w:p>
      <w:pPr>
        <w:pStyle w:val="Normal"/>
        <w:jc w:val="both"/>
        <w:rPr/>
      </w:pPr>
      <w:r>
        <w:rPr/>
      </w:r>
    </w:p>
    <w:p>
      <w:pPr>
        <w:pStyle w:val="Normal"/>
        <w:jc w:val="both"/>
        <w:rPr/>
      </w:pPr>
      <w:r>
        <w:rPr/>
        <w:tab/>
        <w:t>Mr. McConnell then concluded the presentation by noting the EGM’s businesses were growing rapidly and providing significant earnings and would also provide the Company with sustainable growth businesses for the future.</w:t>
      </w:r>
    </w:p>
    <w:p>
      <w:pPr>
        <w:pStyle w:val="Normal"/>
        <w:jc w:val="both"/>
        <w:rPr/>
      </w:pPr>
      <w:r>
        <w:rPr/>
      </w:r>
    </w:p>
    <w:p>
      <w:pPr>
        <w:pStyle w:val="Normal"/>
        <w:jc w:val="both"/>
        <w:rPr/>
      </w:pPr>
      <w:r>
        <w:rPr/>
        <w:tab/>
        <w:t>Mr. Lay recessed the meeting at 9:20 a.m., C.D.T. and reconvened in Executive Session at 9:45 a.m., C.D.T.  All of the Directors, Messrs. Causey, Derrick, Fastow, and Foster, and Ms. Carter were in attendance.</w:t>
      </w:r>
    </w:p>
    <w:p>
      <w:pPr>
        <w:pStyle w:val="Normal"/>
        <w:jc w:val="both"/>
        <w:rPr/>
      </w:pPr>
      <w:r>
        <w:rPr/>
      </w:r>
    </w:p>
    <w:p>
      <w:pPr>
        <w:pStyle w:val="Normal"/>
        <w:jc w:val="both"/>
        <w:rPr/>
      </w:pPr>
      <w:r>
        <w:rPr/>
        <w:tab/>
        <w:t>Mr. Lay called upon Mr. Causey to discuss financial reporting changes.  Mr. Causey stated that the new accounting standard for goodwill would become effective January 1, 2002.  He noted that the new standard would require goodwill to be tested annually at the “reporting unit level” for impairment.  He stated that a reporting unit was defined as an operating segment or one level below the operating segment level.  He stated that to test for impairment the Company would compare the book value to the fair value of the reporting units.  He then commented on the transition and effective dates and stated that disclosure would be required in the Company’s form 10-Q, likely beginning with the third quarter filing.  He noted that any impairment loss recognized upon adoption would be recognized as a cumulative effect of a change in accounting principle.  He presented a summary of the Company’s consolidated goodwill, including equity-method investments.  He stated that the Company was still assessing the situation and he discussed areas where the preliminary assessment indicated that the fair value could be less than the carrying amount. He stated that the Company would continue its assessment of the goodwill and would update the Board at the next meeting.  Mr. Fastow joined him for a discussion of the potential impact that recording an impairment loss could have on the Company’s debt-to-equity ratio.</w:t>
      </w:r>
    </w:p>
    <w:p>
      <w:pPr>
        <w:pStyle w:val="Normal"/>
        <w:jc w:val="both"/>
        <w:rPr/>
      </w:pPr>
      <w:r>
        <w:rPr/>
      </w:r>
    </w:p>
    <w:p>
      <w:pPr>
        <w:pStyle w:val="Normal"/>
        <w:jc w:val="both"/>
        <w:rPr/>
      </w:pPr>
      <w:r>
        <w:rPr/>
        <w:tab/>
        <w:t>Mr. Causey then began a discussion of segment reporting and stated that it was governed by FASB 131, Disclosures about Segments of an Enterprise and Related Information.  He stated that the FASB chose a management approach as the basis for determining what segment information should be reported to users of financial statements and noted that the approach was based on the manner in which management organized segments within an enterprise for making operating decisions and assessing performance.  He reviewed the Company’s previous and current organizational structures and commented on current reporting items and potential additional disclosure items that could be required.  He reviewed the Company’s revised segment reporting and commented on the impact of the changes that had been made in the organizational structure.  He then presented a chart depicting the total assets, liabilities, allocated debt, and equity of each of the business segments and commented on the debt-to-equity ratios and the return on equity for the first six months of 2001.</w:t>
      </w:r>
    </w:p>
    <w:p>
      <w:pPr>
        <w:pStyle w:val="Normal"/>
        <w:jc w:val="both"/>
        <w:rPr/>
      </w:pPr>
      <w:r>
        <w:rPr/>
      </w:r>
    </w:p>
    <w:p>
      <w:pPr>
        <w:pStyle w:val="Normal"/>
        <w:jc w:val="both"/>
        <w:rPr/>
      </w:pPr>
      <w:r>
        <w:rPr/>
        <w:tab/>
        <w:t>Messrs. Causey and Fastow left the meeting following the presentation.</w:t>
      </w:r>
    </w:p>
    <w:p>
      <w:pPr>
        <w:pStyle w:val="Normal"/>
        <w:jc w:val="both"/>
        <w:rPr/>
      </w:pPr>
      <w:r>
        <w:rPr/>
      </w:r>
    </w:p>
    <w:p>
      <w:pPr>
        <w:pStyle w:val="Normal"/>
        <w:jc w:val="both"/>
        <w:rPr/>
      </w:pPr>
      <w:r>
        <w:rPr/>
        <w:tab/>
        <w:t>Mr. Lay stated that minutes of meetings of the Board held on February 13, 2001 and May 1, 2001 had been distributed to the Directors and were included in the meeting material.  He called for any additions, corrections, or comments.  There being none, upon motion duly made by Dr. LeMaistre, seconded by Dr. Gramm, and carried, the minutes of the meetings held February 13, 2001 and May 1, 2001 were approved as distributed.  He called upon Mr. Duncan to discuss an Executive Committee meeting.</w:t>
      </w:r>
    </w:p>
    <w:p>
      <w:pPr>
        <w:pStyle w:val="Normal"/>
        <w:jc w:val="both"/>
        <w:rPr/>
      </w:pPr>
      <w:r>
        <w:rPr/>
      </w:r>
    </w:p>
    <w:p>
      <w:pPr>
        <w:pStyle w:val="Normal"/>
        <w:ind w:firstLine="720" w:end="0"/>
        <w:jc w:val="both"/>
        <w:rPr/>
      </w:pPr>
      <w:r>
        <w:rPr/>
        <w:t>Mr. Duncan stated that at the Executive Committee meeting on June 21, 2001 the Committee had approved the restructuring of a contract with Sithe/Independence Power Partners, L.P. (“Sithe”).  He reviewed the terms of the restructured contract and noted that the Company would make a $174 million equity investment in the Sithe facility and sign a tolling agreement with a third-party.  He also commented on the incremental net present value of the restructured contract.  He then noted that minutes of an Executive Committee meeting held on March 12, 2001, previously discussed with the Board at the February Board meeting, were included in the meeting materials and he moved approval of the minutes.  His motion was duly seconded by Mr. Savage, and carried, and the minutes of the March 12, 2001 meeting were approved as distributed.</w:t>
      </w:r>
    </w:p>
    <w:p>
      <w:pPr>
        <w:pStyle w:val="Normal"/>
        <w:ind w:firstLine="744" w:end="0"/>
        <w:jc w:val="both"/>
        <w:rPr/>
      </w:pPr>
      <w:r>
        <w:rPr/>
      </w:r>
    </w:p>
    <w:p>
      <w:pPr>
        <w:pStyle w:val="BodyTextIndent2"/>
        <w:rPr>
          <w:sz w:val="26"/>
        </w:rPr>
      </w:pPr>
      <w:r>
        <w:rPr>
          <w:sz w:val="26"/>
        </w:rPr>
        <w:t>Mr. Lay then called upon Dr. LeMaistre for a report on a meeting of the Compensation and Management Development Committee held on August 13, 2001.  Dr. LeMaistre stated that at the meeting the Committee had approved the following items for recommendation to the Board: 1) an amendment to and restatement of the Enron Corp. Severance Pay Plan to conform the plan to that of other companies, 2) an amendment to the Enron Corp. 1994 Deferral Plan to allow for daily changes in election choices, and 3) an amendment to the Enron Corp. 1991 Stock Plan to address situations in which non-employee Directors resign from the Board.  Following a discussion, he moved acceptance of the items.  His motion was duly seconded by Mr. Blake, it carried, and the following resolutions were approved:</w:t>
      </w:r>
    </w:p>
    <w:p>
      <w:pPr>
        <w:pStyle w:val="Normal"/>
        <w:jc w:val="both"/>
        <w:rPr>
          <w:sz w:val="26"/>
        </w:rPr>
      </w:pPr>
      <w:r>
        <w:rPr>
          <w:sz w:val="26"/>
        </w:rPr>
      </w:r>
    </w:p>
    <w:p>
      <w:pPr>
        <w:pStyle w:val="Heading6"/>
        <w:ind w:hanging="0" w:start="0"/>
        <w:rPr/>
      </w:pPr>
      <w:r>
        <w:rPr/>
        <w:t>Enron Corp. Severance Pay Plan Amendment and Restatement</w:t>
      </w:r>
    </w:p>
    <w:p>
      <w:pPr>
        <w:pStyle w:val="Normal"/>
        <w:jc w:val="both"/>
        <w:rPr>
          <w:i/>
          <w:i/>
        </w:rPr>
      </w:pPr>
      <w:r>
        <w:rPr>
          <w:i/>
        </w:rPr>
      </w:r>
    </w:p>
    <w:p>
      <w:pPr>
        <w:pStyle w:val="Normal"/>
        <w:tabs>
          <w:tab w:val="clear" w:pos="720"/>
          <w:tab w:val="left" w:pos="-720" w:leader="none"/>
        </w:tabs>
        <w:suppressAutoHyphens w:val="true"/>
        <w:ind w:start="720" w:end="749"/>
        <w:jc w:val="both"/>
        <w:rPr>
          <w:spacing w:val="-3"/>
        </w:rPr>
      </w:pPr>
      <w:r>
        <w:rPr>
          <w:spacing w:val="-3"/>
        </w:rPr>
        <w:tab/>
        <w:t>WHEREAS, the Company desires to amend and restate the Enron Corp. Severance Pay Plan (the “Severance Pay Plan”);</w:t>
      </w:r>
    </w:p>
    <w:p>
      <w:pPr>
        <w:pStyle w:val="Normal"/>
        <w:tabs>
          <w:tab w:val="clear" w:pos="720"/>
          <w:tab w:val="left" w:pos="-720" w:leader="none"/>
        </w:tabs>
        <w:suppressAutoHyphens w:val="true"/>
        <w:ind w:start="720" w:end="749"/>
        <w:jc w:val="both"/>
        <w:rPr>
          <w:spacing w:val="-3"/>
        </w:rPr>
      </w:pPr>
      <w:r>
        <w:rPr>
          <w:spacing w:val="-3"/>
        </w:rPr>
      </w:r>
    </w:p>
    <w:p>
      <w:pPr>
        <w:pStyle w:val="Normal"/>
        <w:tabs>
          <w:tab w:val="clear" w:pos="720"/>
          <w:tab w:val="left" w:pos="-720" w:leader="none"/>
        </w:tabs>
        <w:suppressAutoHyphens w:val="true"/>
        <w:ind w:start="720" w:end="749"/>
        <w:jc w:val="both"/>
        <w:rPr>
          <w:spacing w:val="-3"/>
        </w:rPr>
      </w:pPr>
      <w:r>
        <w:rPr>
          <w:spacing w:val="-3"/>
        </w:rPr>
        <w:tab/>
        <w:t>NOW, THEREFORE, IT IS RESOLVED that effective January 1, 2002, the Severance Pay Plan is amended and restated in the form of document presented at this meeting;</w:t>
      </w:r>
    </w:p>
    <w:p>
      <w:pPr>
        <w:pStyle w:val="Normal"/>
        <w:tabs>
          <w:tab w:val="clear" w:pos="720"/>
          <w:tab w:val="left" w:pos="-720" w:leader="none"/>
        </w:tabs>
        <w:suppressAutoHyphens w:val="true"/>
        <w:ind w:start="720" w:end="749"/>
        <w:jc w:val="both"/>
        <w:rPr>
          <w:spacing w:val="-3"/>
        </w:rPr>
      </w:pPr>
      <w:r>
        <w:rPr>
          <w:spacing w:val="-3"/>
        </w:rPr>
      </w:r>
    </w:p>
    <w:p>
      <w:pPr>
        <w:pStyle w:val="Normal"/>
        <w:tabs>
          <w:tab w:val="clear" w:pos="720"/>
          <w:tab w:val="left" w:pos="-720" w:leader="none"/>
        </w:tabs>
        <w:suppressAutoHyphens w:val="true"/>
        <w:ind w:start="720" w:end="749"/>
        <w:jc w:val="both"/>
        <w:rPr>
          <w:spacing w:val="-3"/>
        </w:rPr>
      </w:pPr>
      <w:r>
        <w:rPr>
          <w:spacing w:val="-3"/>
        </w:rPr>
        <w:tab/>
        <w:t>RESOLVED FURTHER, that the officers of the Company are hereby authorized and directed to proceed toward finalizing the plan document;</w:t>
      </w:r>
    </w:p>
    <w:p>
      <w:pPr>
        <w:pStyle w:val="Normal"/>
        <w:tabs>
          <w:tab w:val="clear" w:pos="720"/>
          <w:tab w:val="left" w:pos="-720" w:leader="none"/>
        </w:tabs>
        <w:suppressAutoHyphens w:val="true"/>
        <w:ind w:start="720" w:end="749"/>
        <w:jc w:val="both"/>
        <w:rPr>
          <w:spacing w:val="-3"/>
        </w:rPr>
      </w:pPr>
      <w:r>
        <w:rPr>
          <w:spacing w:val="-3"/>
        </w:rPr>
      </w:r>
    </w:p>
    <w:p>
      <w:pPr>
        <w:pStyle w:val="Normal"/>
        <w:tabs>
          <w:tab w:val="clear" w:pos="720"/>
          <w:tab w:val="left" w:pos="-720" w:leader="none"/>
        </w:tabs>
        <w:suppressAutoHyphens w:val="true"/>
        <w:ind w:start="720" w:end="749"/>
        <w:jc w:val="both"/>
        <w:rPr>
          <w:spacing w:val="-3"/>
        </w:rPr>
      </w:pPr>
      <w:r>
        <w:rPr>
          <w:spacing w:val="-3"/>
        </w:rPr>
        <w:tab/>
        <w:t>RESOLVED FURTHER, that upon execution of the final plan document, the actual plan embodied therein shall be deemed adopted by this Board and is hereby ratified and approved; and</w:t>
      </w:r>
    </w:p>
    <w:p>
      <w:pPr>
        <w:pStyle w:val="Normal"/>
        <w:tabs>
          <w:tab w:val="clear" w:pos="720"/>
          <w:tab w:val="left" w:pos="-720" w:leader="none"/>
        </w:tabs>
        <w:suppressAutoHyphens w:val="true"/>
        <w:ind w:start="720" w:end="749"/>
        <w:jc w:val="both"/>
        <w:rPr>
          <w:spacing w:val="-3"/>
        </w:rPr>
      </w:pPr>
      <w:r>
        <w:rPr>
          <w:spacing w:val="-3"/>
        </w:rPr>
      </w:r>
    </w:p>
    <w:p>
      <w:pPr>
        <w:pStyle w:val="Normal"/>
        <w:tabs>
          <w:tab w:val="clear" w:pos="720"/>
          <w:tab w:val="left" w:pos="-720" w:leader="none"/>
        </w:tabs>
        <w:suppressAutoHyphens w:val="true"/>
        <w:ind w:start="720" w:end="749"/>
        <w:jc w:val="both"/>
        <w:rPr>
          <w:spacing w:val="-3"/>
        </w:rPr>
      </w:pPr>
      <w:r>
        <w:rPr>
          <w:spacing w:val="-3"/>
        </w:rPr>
        <w:tab/>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each of the foregoing resolutions, including the execution of any further amendments, forms or documents recommended by counsel or required by any governmental agency, and to do anything necessary to effect compliance with applicable law or regulation.</w:t>
      </w:r>
    </w:p>
    <w:p>
      <w:pPr>
        <w:pStyle w:val="Normal"/>
        <w:jc w:val="both"/>
        <w:rPr>
          <w:spacing w:val="-3"/>
        </w:rPr>
      </w:pPr>
      <w:r>
        <w:rPr>
          <w:spacing w:val="-3"/>
        </w:rPr>
      </w:r>
    </w:p>
    <w:p>
      <w:pPr>
        <w:pStyle w:val="Heading6"/>
        <w:ind w:hanging="0" w:start="0"/>
        <w:rPr/>
      </w:pPr>
      <w:r>
        <w:rPr/>
        <w:t>Enron Corp. 1994 Deferral Plan Amendment</w:t>
      </w:r>
    </w:p>
    <w:p>
      <w:pPr>
        <w:pStyle w:val="Normal"/>
        <w:jc w:val="both"/>
        <w:rPr/>
      </w:pPr>
      <w:r>
        <w:rPr/>
      </w:r>
    </w:p>
    <w:p>
      <w:pPr>
        <w:pStyle w:val="Normal"/>
        <w:ind w:firstLine="720" w:start="720" w:end="749"/>
        <w:jc w:val="both"/>
        <w:rPr/>
      </w:pPr>
      <w:r>
        <w:rPr/>
        <w:t>WHEREAS, the Company has heretofore established the Enron Corp. 1994 Deferral Plan (As Restated Effective October 6, 2000) (the “Deferral Plan”); and</w:t>
      </w:r>
    </w:p>
    <w:p>
      <w:pPr>
        <w:pStyle w:val="Normal"/>
        <w:ind w:start="720" w:end="749"/>
        <w:jc w:val="both"/>
        <w:rPr/>
      </w:pPr>
      <w:r>
        <w:rPr/>
      </w:r>
    </w:p>
    <w:p>
      <w:pPr>
        <w:pStyle w:val="Normal"/>
        <w:ind w:start="720" w:end="749"/>
        <w:jc w:val="both"/>
        <w:rPr/>
      </w:pPr>
      <w:r>
        <w:rPr/>
        <w:tab/>
        <w:t>WHEREAS, the Company desires to amend the Deferral Plan;</w:t>
      </w:r>
    </w:p>
    <w:p>
      <w:pPr>
        <w:pStyle w:val="Normal"/>
        <w:ind w:start="720" w:end="749"/>
        <w:jc w:val="both"/>
        <w:rPr/>
      </w:pPr>
      <w:r>
        <w:rPr/>
      </w:r>
    </w:p>
    <w:p>
      <w:pPr>
        <w:pStyle w:val="Normal"/>
        <w:ind w:start="720" w:end="749"/>
        <w:jc w:val="both"/>
        <w:rPr/>
      </w:pPr>
      <w:r>
        <w:rPr/>
        <w:tab/>
        <w:t>NOW, THEREFORE, IT IS RESOLVED, that the proper officers of the Company be, and they are authorized and directed to prepare and execute such amendment to the Deferral Plan on behalf of the Company substantially in the form of amendment presented at this meeting;</w:t>
      </w:r>
    </w:p>
    <w:p>
      <w:pPr>
        <w:pStyle w:val="Normal"/>
        <w:ind w:start="720" w:end="749"/>
        <w:jc w:val="both"/>
        <w:rPr/>
      </w:pPr>
      <w:r>
        <w:rPr/>
      </w:r>
    </w:p>
    <w:p>
      <w:pPr>
        <w:pStyle w:val="Normal"/>
        <w:ind w:start="720" w:end="749"/>
        <w:jc w:val="both"/>
        <w:rPr/>
      </w:pPr>
      <w:r>
        <w:rPr/>
        <w:tab/>
        <w:t>RESOLVED FURTHER, that upon execution of such amendment, such amendment shall be deemed adopted by this Board and is hereby ratified and approved; and</w:t>
      </w:r>
    </w:p>
    <w:p>
      <w:pPr>
        <w:pStyle w:val="Normal"/>
        <w:ind w:start="720" w:end="749"/>
        <w:jc w:val="both"/>
        <w:rPr/>
      </w:pPr>
      <w:r>
        <w:rPr/>
      </w:r>
    </w:p>
    <w:p>
      <w:pPr>
        <w:pStyle w:val="Normal"/>
        <w:ind w:start="720" w:end="749"/>
        <w:jc w:val="both"/>
        <w:rPr/>
      </w:pPr>
      <w:r>
        <w:rPr/>
        <w:tab/>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each of the foregoing resolutions, including the execution of any further amendments, forms or documents recommended by counsel or required by any governmental agency, and to do anything necessary to effect compliance with applicable law or regulation.</w:t>
      </w:r>
      <w:r>
        <w:br w:type="page"/>
      </w:r>
    </w:p>
    <w:p>
      <w:pPr>
        <w:pStyle w:val="Normal"/>
        <w:jc w:val="both"/>
        <w:rPr/>
      </w:pPr>
      <w:r>
        <w:rPr/>
      </w:r>
    </w:p>
    <w:p>
      <w:pPr>
        <w:pStyle w:val="Heading6"/>
        <w:ind w:hanging="0" w:start="0"/>
        <w:rPr/>
      </w:pPr>
      <w:r>
        <w:rPr/>
        <w:t>Enron Corp. 1991 Stock Plan Amendment</w:t>
      </w:r>
    </w:p>
    <w:p>
      <w:pPr>
        <w:pStyle w:val="Normal"/>
        <w:jc w:val="both"/>
        <w:rPr/>
      </w:pPr>
      <w:r>
        <w:rPr/>
      </w:r>
    </w:p>
    <w:p>
      <w:pPr>
        <w:pStyle w:val="Normal"/>
        <w:ind w:firstLine="720" w:start="720" w:end="749"/>
        <w:jc w:val="both"/>
        <w:rPr/>
      </w:pPr>
      <w:r>
        <w:rPr/>
        <w:t>WHEREAS, Enron Corp. (the “Company”) and the shareholders of the Company have heretofore approved and adopted the Enron Corp. 1991 Stock Plan (As Amended and Restated Effective May 1, 2001) (the “Plan”); and</w:t>
      </w:r>
    </w:p>
    <w:p>
      <w:pPr>
        <w:pStyle w:val="Normal"/>
        <w:ind w:start="720" w:end="749"/>
        <w:jc w:val="both"/>
        <w:rPr/>
      </w:pPr>
      <w:r>
        <w:rPr/>
      </w:r>
    </w:p>
    <w:p>
      <w:pPr>
        <w:pStyle w:val="Normal"/>
        <w:ind w:start="720" w:end="749"/>
        <w:jc w:val="both"/>
        <w:rPr/>
      </w:pPr>
      <w:r>
        <w:rPr/>
        <w:tab/>
        <w:t>WHEREAS, the Company desires to amend the Plan;</w:t>
      </w:r>
    </w:p>
    <w:p>
      <w:pPr>
        <w:pStyle w:val="Normal"/>
        <w:ind w:start="720" w:end="749"/>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749"/>
        <w:jc w:val="both"/>
        <w:rPr/>
      </w:pPr>
      <w:r>
        <w:rPr/>
        <w:tab/>
        <w:t xml:space="preserve">NOW, THEREFORE, IT IS RESOLVED, that </w:t>
      </w:r>
      <w:r>
        <w:rPr>
          <w:spacing w:val="-3"/>
        </w:rPr>
        <w:t xml:space="preserve">the proper officers of the Company be, and they are authorized and directed to prepare an amendment to the Plan incorporating the form of amendment presented at this meeting; </w:t>
      </w:r>
    </w:p>
    <w:p>
      <w:pPr>
        <w:pStyle w:val="Normal"/>
        <w:tabs>
          <w:tab w:val="clear" w:pos="720"/>
          <w:tab w:val="left" w:pos="0" w:leader="none"/>
        </w:tabs>
        <w:suppressAutoHyphens w:val="true"/>
        <w:ind w:start="720" w:end="749"/>
        <w:jc w:val="both"/>
        <w:rPr>
          <w:spacing w:val="-3"/>
        </w:rPr>
      </w:pPr>
      <w:r>
        <w:rPr>
          <w:spacing w:val="-3"/>
        </w:rPr>
      </w:r>
    </w:p>
    <w:p>
      <w:pPr>
        <w:pStyle w:val="Normal"/>
        <w:tabs>
          <w:tab w:val="clear" w:pos="720"/>
          <w:tab w:val="left" w:pos="0" w:leader="none"/>
        </w:tabs>
        <w:suppressAutoHyphens w:val="true"/>
        <w:ind w:start="720" w:end="749"/>
        <w:jc w:val="both"/>
        <w:rPr>
          <w:spacing w:val="-3"/>
        </w:rPr>
      </w:pPr>
      <w:r>
        <w:rPr>
          <w:spacing w:val="-3"/>
        </w:rPr>
        <w:tab/>
        <w:t>RESOLVED FURTHER; that upon execution of such amendment prepared according to the above provisions, such amendment shall be deemed adopted by this Board and is hereby ratified and approved;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749"/>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749"/>
        <w:jc w:val="both"/>
        <w:rPr>
          <w:spacing w:val="-3"/>
        </w:rPr>
      </w:pPr>
      <w:r>
        <w:rPr>
          <w:spacing w:val="-3"/>
        </w:rPr>
        <w:tab/>
        <w:t>RESOLVED FURTHER, that the proper officers of the Company and its counsel are hereby authorized, empowered and directed to take all such further action, to amend, execute and deliver all such instruments and documents, for and in the name and on behalf of the Company, under its corporate seal or otherwise, and to pay all such expenses, as in their judgment may be necessary, appropriate or advisable in order fully to carry into effect the purposes and intentions of this and each of the foregoing resolutions, including the execution of any further amendments, forms or documents recommended by counsel or required by any governmental agency, and to do anything necessary to effect compliance with applicable law or regulation.</w:t>
      </w:r>
    </w:p>
    <w:p>
      <w:pPr>
        <w:pStyle w:val="Normal"/>
        <w:jc w:val="both"/>
        <w:rPr>
          <w:spacing w:val="-3"/>
        </w:rPr>
      </w:pPr>
      <w:r>
        <w:rPr>
          <w:spacing w:val="-3"/>
        </w:rPr>
      </w:r>
    </w:p>
    <w:p>
      <w:pPr>
        <w:pStyle w:val="Normal"/>
        <w:ind w:firstLine="714" w:end="0"/>
        <w:jc w:val="both"/>
        <w:rPr/>
      </w:pPr>
      <w:r>
        <w:rPr/>
        <w:t>Mr. Lay called upon Dr. Jaedicke to report on the Audit and Compliance Committee meeting held on August 13, 2001. Dr. Jaedicke stated that at the meeting the Committee had received a financial reporting and control audit update and discussed the status of the Company’s reserves.  He stated that the Committee had also held a discussion with Arthur Andersen LLP (“AA”) regarding auditor independence and noted that AA had confirmed that it was an independent accountant with respect to the Company within the meaning of the Securities Act and the requirements of the Independence Standards Board.</w:t>
      </w:r>
    </w:p>
    <w:p>
      <w:pPr>
        <w:pStyle w:val="Normal"/>
        <w:ind w:firstLine="714" w:end="0"/>
        <w:jc w:val="both"/>
        <w:rPr/>
      </w:pPr>
      <w:r>
        <w:rPr/>
      </w:r>
    </w:p>
    <w:p>
      <w:pPr>
        <w:pStyle w:val="Normal"/>
        <w:tabs>
          <w:tab w:val="clear" w:pos="720"/>
          <w:tab w:val="left" w:pos="-720" w:leader="none"/>
        </w:tabs>
        <w:suppressAutoHyphens w:val="true"/>
        <w:jc w:val="both"/>
        <w:rPr/>
      </w:pPr>
      <w:r>
        <w:rPr/>
        <w:tab/>
        <w:t>Mr. Lay called upon Lord Wakeham to report on the Nominating and Corporate Governance Committee meeting held on August 13, 2001.  Lord Wakeham stated that at the meeting the Committee had discussed the status of potential Board candidates previously discussed with the Board. He noted that, at the current time, none of the candidates were available to join the Board but that discussions were continuing.</w:t>
      </w:r>
    </w:p>
    <w:p>
      <w:pPr>
        <w:pStyle w:val="Normal"/>
        <w:tabs>
          <w:tab w:val="clear" w:pos="720"/>
          <w:tab w:val="left" w:pos="-720" w:leader="none"/>
        </w:tabs>
        <w:suppressAutoHyphens w:val="true"/>
        <w:jc w:val="both"/>
        <w:rPr/>
      </w:pPr>
      <w:r>
        <w:rPr/>
      </w:r>
    </w:p>
    <w:p>
      <w:pPr>
        <w:pStyle w:val="Normal"/>
        <w:ind w:firstLine="720" w:end="0"/>
        <w:jc w:val="both"/>
        <w:rPr/>
      </w:pPr>
      <w:r>
        <w:rPr/>
        <w:t xml:space="preserve">Mr. Lay then called upon Mr. Winokur to report on the Finance Committee meeting held on August 13, 2001. Mr. Winokur stated that the Committee had approved for recommendation to the Board a resolution relating to brokerage account authorizations.  Following a discussion, upon motion duly made by Mr. Blake, seconded by Mr. Ferraz Pereira, and carried, the following resolution was approved: </w:t>
      </w:r>
    </w:p>
    <w:p>
      <w:pPr>
        <w:pStyle w:val="Normal"/>
        <w:ind w:firstLine="720" w:end="0"/>
        <w:jc w:val="both"/>
        <w:rPr/>
      </w:pPr>
      <w:r>
        <w:rPr/>
      </w:r>
    </w:p>
    <w:p>
      <w:pPr>
        <w:pStyle w:val="Normal"/>
        <w:tabs>
          <w:tab w:val="clear" w:pos="720"/>
          <w:tab w:val="left" w:pos="450" w:leader="none"/>
        </w:tabs>
        <w:spacing w:before="240" w:after="0"/>
        <w:ind w:start="720" w:end="749"/>
        <w:jc w:val="both"/>
        <w:rPr/>
      </w:pPr>
      <w:r>
        <w:rPr/>
        <w:tab/>
        <w:t>RESOLVED, that any two of the following officers of the Company are hereby authorized and empowered to open and maintain one or more accounts in the name of the Company with any securities brokerage firms (the “Brokers”) which such officers, in their discretion, deem appropriate to use for the purpose of purchasing, investing in, or otherwise acquiring, possessing, selling, effecting transactions in, or dealing in, securities, including, but not limited to stocks, bonds, options, etc. (the “Securities”), all within the guidelines and limitations of the Company’s Investment Policy (the “Investment Policy”) as in effect from time to time:  the Chairman of the Board, the President and Chief Executive Officer, the Executive Vice President and Chief Risk Officer, the Executive Vice President and Chief Financial Officer, the Managing Director, Finance and Treasurer, and Timothy A. DeSpain, Deputy Treasurer (the “Authorized Officers”);</w:t>
      </w:r>
    </w:p>
    <w:p>
      <w:pPr>
        <w:pStyle w:val="Normal"/>
        <w:tabs>
          <w:tab w:val="left" w:pos="720" w:leader="none"/>
        </w:tabs>
        <w:spacing w:lineRule="atLeast" w:line="0" w:before="120" w:after="0"/>
        <w:ind w:start="720" w:end="749"/>
        <w:jc w:val="both"/>
        <w:rPr/>
      </w:pPr>
      <w:r>
        <w:rPr/>
        <w:tab/>
        <w:t>RESOLVED FURTHER, that any of the Authorized Officers be, and they hereby are, authorized and directed, for and in the name and on behalf of the Company, to give written or oral instructions to any Brokers by telephone, facsimile transmission, or otherwise with respect to any Securities transactions in connection with any such account; to pay cash or by checks and/or drafts drawn upon the funds of the Company, such sums as may be necessary in connection with any such account; to deliver Securities to any Brokers or to any custodian account; to order the transfer or delivery or acceptance of Securities to or from any other person whatsoever, order and take any other action necessary to transfer the record of any Securities to any account selected by such officers; to endorse any Securities in connection with any such account; to receive on behalf of the Company confirmations and periodic statements of account; and to take all action necessary or desirable in connection with any such account, all consistent with the Company’s Investment Policy;</w:t>
      </w:r>
    </w:p>
    <w:p>
      <w:pPr>
        <w:pStyle w:val="Normal"/>
        <w:tabs>
          <w:tab w:val="left" w:pos="720" w:leader="none"/>
        </w:tabs>
        <w:spacing w:lineRule="atLeast" w:line="0" w:before="120" w:after="0"/>
        <w:ind w:start="720" w:end="749"/>
        <w:jc w:val="both"/>
        <w:rPr/>
      </w:pPr>
      <w:r>
        <w:rPr/>
        <w:tab/>
        <w:t>RESOLVED FURTHER, that any two of the Authorized Officers of the Company be, and they hereby are, authorized and empowered, on behalf of the Company, to designate in an Officers’ Certificate from time to time (1) those employees of the Company who shall have the authority to effect the transactions in Securities enumerated in these resolutions, within the limitations and conditions determined by such officers in their discretion and specified in such Officers’ Certificate, such limitations and conditions to be not less restrictive than those imposed by the Company’s Investment Policy and/or  (2) certify in writing compliance with the guidelines and limitations of the Company’s Investment Policy;</w:t>
      </w:r>
    </w:p>
    <w:p>
      <w:pPr>
        <w:pStyle w:val="Normal"/>
        <w:tabs>
          <w:tab w:val="left" w:pos="720" w:leader="none"/>
        </w:tabs>
        <w:spacing w:lineRule="atLeast" w:line="0" w:before="120" w:after="0"/>
        <w:ind w:start="720" w:end="749"/>
        <w:jc w:val="both"/>
        <w:rPr/>
      </w:pPr>
      <w:r>
        <w:rPr/>
        <w:tab/>
        <w:t>RESOLVED FURTHER, that any Broker may rely upon an Officers’ Certificate given in accordance with these resolutions as conclusive and it shall be effective for all transactions made in reliance upon it until after such Broker receives written notice of a change in or the rescission of authority;</w:t>
      </w:r>
    </w:p>
    <w:p>
      <w:pPr>
        <w:pStyle w:val="Normal"/>
        <w:tabs>
          <w:tab w:val="left" w:pos="720" w:leader="none"/>
        </w:tabs>
        <w:spacing w:lineRule="atLeast" w:line="0" w:before="120" w:after="0"/>
        <w:ind w:start="720" w:end="749"/>
        <w:jc w:val="both"/>
        <w:rPr/>
      </w:pPr>
      <w:r>
        <w:rPr/>
        <w:tab/>
        <w:t>RESOLVED FURTHER, that any two of the Authorized Officers of the Company be, and they hereby are, authorized to give written notice of the termination or cancellation of authority to trade in such accounts;</w:t>
      </w:r>
    </w:p>
    <w:p>
      <w:pPr>
        <w:pStyle w:val="Normal"/>
        <w:tabs>
          <w:tab w:val="left" w:pos="720" w:leader="none"/>
        </w:tabs>
        <w:spacing w:lineRule="atLeast" w:line="0" w:before="120" w:after="0"/>
        <w:ind w:start="720" w:end="749"/>
        <w:jc w:val="both"/>
        <w:rPr/>
      </w:pPr>
      <w:r>
        <w:rPr/>
        <w:tab/>
        <w:t>RESOLVED FURTHER, that all actions heretofore taken by any officer of the Company, in the name and on behalf of the Company, related to or in connection with the transactions contemplated by these resolutions, including without limitation the execution and delivery of any instruments or other documents as any officer shall have deemed necessary, proper, or advisable, are hereby adopted, ratified, confirmed, and approved in all respects; and</w:t>
      </w:r>
    </w:p>
    <w:p>
      <w:pPr>
        <w:pStyle w:val="Normal"/>
        <w:tabs>
          <w:tab w:val="left" w:pos="720" w:leader="none"/>
        </w:tabs>
        <w:spacing w:lineRule="atLeast" w:line="0" w:before="120" w:after="0"/>
        <w:ind w:start="720" w:end="749"/>
        <w:jc w:val="both"/>
        <w:rPr/>
      </w:pPr>
      <w:r>
        <w:rPr/>
        <w:tab/>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p>
      <w:pPr>
        <w:pStyle w:val="Normal"/>
        <w:ind w:firstLine="720" w:end="0"/>
        <w:jc w:val="both"/>
        <w:rPr/>
      </w:pPr>
      <w:r>
        <w:rPr/>
      </w:r>
    </w:p>
    <w:p>
      <w:pPr>
        <w:pStyle w:val="Normal"/>
        <w:ind w:firstLine="720" w:end="0"/>
        <w:jc w:val="both"/>
        <w:rPr/>
      </w:pPr>
      <w:r>
        <w:rPr/>
        <w:t xml:space="preserve">Mr. Winokur then stated that the Board should continue the discussion started in the joint Audit and Finance Committee meeting held on August 13, 2001 regarding proposed changes to the Enron Corp. Risk Management Policy.  He noted that management had presented three proposed overall limits for consideration.  He stated that he believed that, due to balance sheet constraints caused by fewer asset sales than anticipated and the current volatility in the marketplace, management’s mid-range proposal would be the most appropriate at the current time. He stated that discussions between management and Board members had continued after the joint Audit and Finance Committee meeting nd he reviewed the recommendations that he had received.  He then called for a discussion of the matter.  Mr. Skilling answered questions from the Board regarding the proposals and following a discussion, upon motion duly made by Mr. Blake, seconded by Mr. Ferraz Pereira, and carried, an increase in the overall Value at Risk (“VAR”) limit to $150 million, with $25 to be considered discretionary VAR, and the following resolutions were approved: </w:t>
      </w:r>
    </w:p>
    <w:p>
      <w:pPr>
        <w:pStyle w:val="Normal"/>
        <w:jc w:val="both"/>
        <w:rPr/>
      </w:pPr>
      <w:r>
        <w:rPr/>
      </w:r>
    </w:p>
    <w:p>
      <w:pPr>
        <w:pStyle w:val="Normal"/>
        <w:ind w:firstLine="720" w:start="720" w:end="749"/>
        <w:jc w:val="both"/>
        <w:rPr/>
      </w:pPr>
      <w:r>
        <w:rPr/>
        <w:t xml:space="preserve">WHEREAS, the Company desires to establish and implement a comprehensive, enterprise-wide Enron Corp. Risk Management Policy that will serve as a means of evaluating, managing, and controlling the Company’s exposure to risk and under which capital will be allocated and preserved (the “Policy”); </w:t>
      </w:r>
    </w:p>
    <w:p>
      <w:pPr>
        <w:pStyle w:val="Normal"/>
        <w:ind w:firstLine="720" w:start="720" w:end="749"/>
        <w:jc w:val="both"/>
        <w:rPr/>
      </w:pPr>
      <w:r>
        <w:rPr/>
      </w:r>
    </w:p>
    <w:p>
      <w:pPr>
        <w:pStyle w:val="Normal"/>
        <w:ind w:firstLine="720" w:start="720" w:end="749"/>
        <w:jc w:val="both"/>
        <w:rPr/>
      </w:pPr>
      <w:r>
        <w:rPr/>
        <w:t>WHEREAS, the objective of this Policy will be to ensure that the Company’s capital is allocated efficiently and that appropriate action is taken to preserve the Company’s capital in accordance with the Company’s disposition for risk;</w:t>
      </w:r>
    </w:p>
    <w:p>
      <w:pPr>
        <w:pStyle w:val="Normal"/>
        <w:ind w:firstLine="720" w:start="720" w:end="749"/>
        <w:jc w:val="both"/>
        <w:rPr/>
      </w:pPr>
      <w:r>
        <w:rPr/>
      </w:r>
    </w:p>
    <w:p>
      <w:pPr>
        <w:pStyle w:val="Normal"/>
        <w:ind w:firstLine="720" w:start="720" w:end="749"/>
        <w:jc w:val="both"/>
        <w:rPr/>
      </w:pPr>
      <w:r>
        <w:rPr/>
        <w:t>WHEREAS, in conjunction with the implementation of the Policy, the Company desires to consolidate and unify into the Policy, several existing policies and procedures, including, but not limited to, the following previously approved Company policies: (i) the Policy For Approval of Guarantees, Letters of Credit, Letters of Indemnity and Other Support Arrangements (the “Guarantee Process”), as amended from time to time (approved, December 12, 1995); (ii) the Enron Corp. Risk Management Policy, as amended from time to time (approved on October 1, 1996); (iii) the Transaction Approval Process, as amended from time to time (approved on October 12, 1998), and (iv) the Enron Corp. Credit Risk Management Policy, as amended from time to time (approved February 8, 2000);</w:t>
      </w:r>
    </w:p>
    <w:p>
      <w:pPr>
        <w:pStyle w:val="Normal"/>
        <w:ind w:start="720" w:end="749"/>
        <w:jc w:val="both"/>
        <w:rPr/>
      </w:pPr>
      <w:r>
        <w:rPr/>
      </w:r>
    </w:p>
    <w:p>
      <w:pPr>
        <w:pStyle w:val="Normal"/>
        <w:ind w:firstLine="720" w:start="720" w:end="749"/>
        <w:jc w:val="both"/>
        <w:rPr/>
      </w:pPr>
      <w:r>
        <w:rPr/>
        <w:t>WHEREAS, the Transaction Approval Process, as consolidated into the Policy, will contain several new amendments that are necessary in order to reflect the new approval authorities as a result of recent organizational changes in the Company and to increase the approval limits for certain identified business units, and the Guarantee Process, as consolidated into the Policy, will contain new amendments necessary to further conform its terms to those of the Transaction Approval Process and to redefine the definition of guarantee limit; and</w:t>
      </w:r>
    </w:p>
    <w:p>
      <w:pPr>
        <w:pStyle w:val="Normal"/>
        <w:ind w:start="720" w:end="749"/>
        <w:jc w:val="both"/>
        <w:rPr/>
      </w:pPr>
      <w:r>
        <w:rPr/>
      </w:r>
    </w:p>
    <w:p>
      <w:pPr>
        <w:pStyle w:val="Normal"/>
        <w:ind w:firstLine="720" w:start="720" w:end="749"/>
        <w:jc w:val="both"/>
        <w:rPr/>
      </w:pPr>
      <w:r>
        <w:rPr/>
        <w:t xml:space="preserve">WHEREAS, it would be in the best interest of the Company that the Board of Directors of the Company approve and adopt the Policy; </w:t>
      </w:r>
    </w:p>
    <w:p>
      <w:pPr>
        <w:pStyle w:val="Normal"/>
        <w:ind w:start="720" w:end="749"/>
        <w:jc w:val="both"/>
        <w:rPr/>
      </w:pPr>
      <w:r>
        <w:rPr/>
      </w:r>
    </w:p>
    <w:p>
      <w:pPr>
        <w:pStyle w:val="BodyText"/>
        <w:ind w:firstLine="720" w:start="720" w:end="749"/>
        <w:rPr>
          <w:sz w:val="26"/>
        </w:rPr>
      </w:pPr>
      <w:r>
        <w:rPr>
          <w:sz w:val="26"/>
        </w:rPr>
        <w:t>NOW, THEREFORE, IT IS RESOLVED, that the Policy be, and the same hereby is, approved and adopted, in the form presented to and discussed at this meeting, a copy of which is attached to the minutes of the meeting as Exhibit I, and that the persons, officers, and approving units identified therein shall perform the responsibilities as specified;</w:t>
      </w:r>
    </w:p>
    <w:p>
      <w:pPr>
        <w:pStyle w:val="Normal"/>
        <w:ind w:start="720" w:end="749"/>
        <w:jc w:val="both"/>
        <w:rPr>
          <w:sz w:val="26"/>
        </w:rPr>
      </w:pPr>
      <w:r>
        <w:rPr>
          <w:sz w:val="26"/>
        </w:rPr>
      </w:r>
    </w:p>
    <w:p>
      <w:pPr>
        <w:pStyle w:val="BodyText2"/>
        <w:ind w:firstLine="720" w:start="720" w:end="749"/>
        <w:rPr/>
      </w:pPr>
      <w:r>
        <w:rPr/>
        <w:t>RESOLVED FURTHER, that the Policy shall supersede and replace all prior policies or guidelines related to evaluating, managing, and controlling the Company’s exposure to risk that are included within the scope of the Policy; and</w:t>
      </w:r>
    </w:p>
    <w:p>
      <w:pPr>
        <w:pStyle w:val="Normal"/>
        <w:ind w:start="720" w:end="749"/>
        <w:jc w:val="both"/>
        <w:rPr/>
      </w:pPr>
      <w:r>
        <w:rPr/>
      </w:r>
    </w:p>
    <w:p>
      <w:pPr>
        <w:pStyle w:val="BodyText"/>
        <w:ind w:start="720" w:end="749"/>
        <w:rPr>
          <w:sz w:val="26"/>
        </w:rPr>
      </w:pPr>
      <w:r>
        <w:rPr>
          <w:sz w:val="26"/>
        </w:rPr>
        <w:tab/>
        <w:t>RESOLVED FURTHER, that the Chairman of the Board, the President and Chief Executive Officer, the Chief Risk Officer (or his or her designee), the Chief Financial Officer or the Treasurer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p>
      <w:pPr>
        <w:pStyle w:val="Normal"/>
        <w:ind w:start="720" w:end="749"/>
        <w:jc w:val="both"/>
        <w:rPr>
          <w:sz w:val="26"/>
        </w:rPr>
      </w:pPr>
      <w:r>
        <w:rPr>
          <w:sz w:val="26"/>
        </w:rPr>
      </w:r>
    </w:p>
    <w:p>
      <w:pPr>
        <w:pStyle w:val="BodyText2"/>
        <w:rPr/>
      </w:pPr>
      <w:r>
        <w:rPr/>
        <w:tab/>
        <w:t>Mr. Lay called upon Mr. Derrick to give the legal report.  Mr. Derrick stated that the Company continued to pursue an effort to bring a commercial resolution to the issues regarding the Company’s Dabhol power project in India while at the same time pursuing legal action.  He then updated the Board on certain litigation matters in California.</w:t>
      </w:r>
    </w:p>
    <w:p>
      <w:pPr>
        <w:pStyle w:val="Normal"/>
        <w:tabs>
          <w:tab w:val="clear" w:pos="720"/>
          <w:tab w:val="left" w:pos="-720" w:leader="none"/>
        </w:tabs>
        <w:suppressAutoHyphens w:val="true"/>
        <w:jc w:val="both"/>
        <w:rPr/>
      </w:pPr>
      <w:r>
        <w:rPr/>
      </w:r>
    </w:p>
    <w:p>
      <w:pPr>
        <w:pStyle w:val="BodyText2"/>
        <w:rPr/>
      </w:pPr>
      <w:r>
        <w:rPr/>
        <w:tab/>
        <w:t>Mr. Skilling then updated the Board regarding the accident at the Company’s facility in Teesside, England.  He stated that he had flown to England the day of the accident and had visited the employees at the facility and those employees who were injured in the accident.  He noted that an investigation to determine the cause of the accident was currently underway.</w:t>
      </w:r>
    </w:p>
    <w:p>
      <w:pPr>
        <w:pStyle w:val="Normal"/>
        <w:ind w:firstLine="720" w:end="0"/>
        <w:jc w:val="both"/>
        <w:rPr/>
      </w:pPr>
      <w:r>
        <w:rPr/>
      </w:r>
    </w:p>
    <w:p>
      <w:pPr>
        <w:pStyle w:val="Normal"/>
        <w:ind w:firstLine="720" w:end="0"/>
        <w:jc w:val="both"/>
        <w:rPr/>
      </w:pPr>
      <w:r>
        <w:rPr/>
        <w:t xml:space="preserve">Mr. Lay called upon Ms. Carter to discuss other general corporate matters.  Ms. Carter noted that the Board had approved the formation of the JEDI II LP at the December 9, 1997 Board meeting.  She noted that the credit agreement was currently being extended and that in the process it was determined that the Board had never been presented with certain resolutions relating to the credit facility.  She stated that it would be appropriate for the Board to ratify the resolutions at this time.  Following a discussion, upon motion duly made by Mr. Blake, seconded by Dr. LeMaistre, and carried, the following resolutions were approved: </w:t>
      </w:r>
    </w:p>
    <w:p>
      <w:pPr>
        <w:pStyle w:val="Normal"/>
        <w:ind w:firstLine="720" w:end="0"/>
        <w:jc w:val="both"/>
        <w:rPr/>
      </w:pPr>
      <w:r>
        <w:rPr/>
      </w:r>
    </w:p>
    <w:p>
      <w:pPr>
        <w:pStyle w:val="BlockText"/>
        <w:ind w:firstLine="720" w:end="720"/>
        <w:rPr>
          <w:sz w:val="26"/>
        </w:rPr>
      </w:pPr>
      <w:r>
        <w:rPr>
          <w:sz w:val="26"/>
        </w:rPr>
        <w:t>RESOLVED, that the Chairman of the Board, the Vice Chairman of the Board, the President, any Managing Director, and any Vice President be, and each of them hereby is, authorized, empowered, and directed (any one of them acting alone), for and in the name and on behalf of the Company, to negotiate, execute, deliver, and perform a parent performance agreement (the “Performance Agreement”), together with all such instruments, certificates, agreements, or other documents as are required in connection with the Performance Agreement (collectively, the “Principal Agreements”) to support certain obligations of Enron Capital Management II Limited Partnership (“ECMLP II”), the general partner of Joint Energy Development Investments II Limited Partnership, a Delaware limited partnership (the “Partnership” or “JEDI II”) and of Enron Capital Management III Limited Partnership (“ECMLP III”), a limited partner of JEDI II, including but not limited to those obligations of ECMLP II and ECMLP III (1) under the JEDI II Partnership Agreement; (2) to the Partnership with respect to a committed revolving credit facility not to exceed $100,000,000 that will be made available to the Partnership by ECMLP II in connection with a revolving credit facility to be obtained from certain financial institutions by the Partnership (together with any and all amendments, modifications, renewals, extensions, refinancings and rearrangements thereof, the “JEDI II Credit Facility”); (3) under one or more Partner Undertakings to be executed by ECMLP II or ECMLP III in connection with the JEDI II Credit Facility; and (4) under or with respect to the JEDI II Credit Facility;</w:t>
      </w:r>
    </w:p>
    <w:p>
      <w:pPr>
        <w:pStyle w:val="Normal"/>
        <w:ind w:start="720" w:end="749"/>
        <w:jc w:val="both"/>
        <w:rPr>
          <w:sz w:val="26"/>
        </w:rPr>
      </w:pPr>
      <w:r>
        <w:rPr>
          <w:sz w:val="26"/>
        </w:rPr>
      </w:r>
    </w:p>
    <w:p>
      <w:pPr>
        <w:pStyle w:val="Normal"/>
        <w:ind w:start="720" w:end="749"/>
        <w:jc w:val="both"/>
        <w:rPr/>
      </w:pPr>
      <w:r>
        <w:rPr/>
        <w:tab/>
        <w:t>RESOLVED FURTHER, that all Principal Agreements authorized under these resolutions may be expected to benefit, directly or indirectly, the Company, and it is in the best interest of the Company to enter into the Principal Agreements, and the Principal Agreements are necessary or convenient to the conduct, promotion, or attainment of the business of directly or indirectly wholly-owned subsidiaries of the Company;</w:t>
      </w:r>
    </w:p>
    <w:p>
      <w:pPr>
        <w:pStyle w:val="Normal"/>
        <w:ind w:start="720" w:end="749"/>
        <w:jc w:val="both"/>
        <w:rPr/>
      </w:pPr>
      <w:r>
        <w:rPr/>
      </w:r>
    </w:p>
    <w:p>
      <w:pPr>
        <w:pStyle w:val="Normal"/>
        <w:ind w:start="720" w:end="749"/>
        <w:jc w:val="both"/>
        <w:rPr/>
      </w:pPr>
      <w:r>
        <w:rPr/>
        <w:tab/>
        <w:t>RESOLVED FURTHER, that the Company is authorized and directed to observe and perform in full all of the obligations, conditions, covenants, and other terms set forth in or contemplated by the Principal Agreements as the same may be amended from time to time as hereby provided;</w:t>
      </w:r>
    </w:p>
    <w:p>
      <w:pPr>
        <w:pStyle w:val="Normal"/>
        <w:ind w:start="720" w:end="749"/>
        <w:jc w:val="both"/>
        <w:rPr/>
      </w:pPr>
      <w:r>
        <w:rPr/>
      </w:r>
    </w:p>
    <w:p>
      <w:pPr>
        <w:pStyle w:val="Normal"/>
        <w:ind w:start="720" w:end="749"/>
        <w:jc w:val="both"/>
        <w:rPr/>
      </w:pPr>
      <w:r>
        <w:rPr/>
        <w:tab/>
        <w:t>RESOLVED FURTHER, that the Chairman of the Board, the Vice Chairman of the Board, the President, any Managing Director, or any Vice President of the Company be, and each of them hereby is, authorized in the name and on behalf of the Company, under its corporate seal or otherwise, to negotiate, execute, deliver, amend, perform, and consummate such other agreements, instruments, or documents as such officer may deem necessary or desirable to carry out the purpose and intent of the resolutions herein, in such forms as shall be approved by the officer executing the same, such approval to be conclusively evidenced by the execution thereof by such officer;</w:t>
      </w:r>
    </w:p>
    <w:p>
      <w:pPr>
        <w:pStyle w:val="Normal"/>
        <w:ind w:start="720" w:end="749"/>
        <w:jc w:val="both"/>
        <w:rPr/>
      </w:pPr>
      <w:r>
        <w:rPr/>
      </w:r>
    </w:p>
    <w:p>
      <w:pPr>
        <w:pStyle w:val="Normal"/>
        <w:ind w:start="720" w:end="749"/>
        <w:jc w:val="both"/>
        <w:rPr/>
      </w:pPr>
      <w:r>
        <w:rPr/>
        <w:tab/>
        <w:t>RESOLVED FURTHER, that each such officer be, and each such officer hereby is, authorized in the name and on behalf of the Company to take or cause to be taken such action as such officer may deem necessary or desirable in connection with the performance by the Company of its obligations under any agreement, document, or instrument related to these transactions to which the Company is a party;</w:t>
      </w:r>
    </w:p>
    <w:p>
      <w:pPr>
        <w:pStyle w:val="Normal"/>
        <w:ind w:start="720" w:end="749"/>
        <w:jc w:val="both"/>
        <w:rPr/>
      </w:pPr>
      <w:r>
        <w:rPr/>
      </w:r>
    </w:p>
    <w:p>
      <w:pPr>
        <w:pStyle w:val="Normal"/>
        <w:ind w:start="720" w:end="749"/>
        <w:jc w:val="both"/>
        <w:rPr/>
      </w:pPr>
      <w:r>
        <w:rPr/>
        <w:tab/>
        <w:t>RESOLVED FURTHER, that the proper officers of the Company and its counsel be, and each of them hereby is, authorized, empowered, and directed (anyone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 and</w:t>
      </w:r>
    </w:p>
    <w:p>
      <w:pPr>
        <w:pStyle w:val="Normal"/>
        <w:ind w:start="720" w:end="749"/>
        <w:jc w:val="both"/>
        <w:rPr/>
      </w:pPr>
      <w:r>
        <w:rPr/>
      </w:r>
    </w:p>
    <w:p>
      <w:pPr>
        <w:pStyle w:val="Normal"/>
        <w:ind w:start="720" w:end="749"/>
        <w:jc w:val="both"/>
        <w:rPr/>
      </w:pPr>
      <w:r>
        <w:rPr/>
        <w:tab/>
        <w:t>RESOLVED FURTHER, that all actions heretofore taken by the Chairman of the Board, the Vice Chairman of the Board, the President or any officer of the Company at Vice President level or higher, in the name and on behalf of the Company, related to or in connection with executing and delivering Performance and/or Principal Agreements of the type contemplated by these resolutions, including without limitation the execution and delivery of any other documents or instruments as such officer deemed necessary, proper, or advisable in connection therewith, are hereby adopted, ratified, confirmed, and approved in all respects.</w:t>
      </w:r>
    </w:p>
    <w:p>
      <w:pPr>
        <w:pStyle w:val="Normal"/>
        <w:ind w:start="720" w:end="749"/>
        <w:rPr/>
      </w:pPr>
      <w:r>
        <w:rPr/>
      </w:r>
    </w:p>
    <w:p>
      <w:pPr>
        <w:pStyle w:val="Normal"/>
        <w:ind w:firstLine="720" w:end="0"/>
        <w:jc w:val="both"/>
        <w:rPr/>
      </w:pPr>
      <w:r>
        <w:rPr/>
        <w:t>Ms. Carter then stated that the Board should consider the declaration of dividends payable for the third quarter on the Company’s Common and Preferred Stocks.  Upon motion duly made by Mr. Blake, seconded by Dr. LeMaistre, and carried, the following resolutions were approved:</w:t>
      </w:r>
    </w:p>
    <w:p>
      <w:pPr>
        <w:pStyle w:val="Normal"/>
        <w:ind w:firstLine="720" w:end="0"/>
        <w:jc w:val="both"/>
        <w:rPr/>
      </w:pPr>
      <w:r>
        <w:rPr/>
      </w:r>
    </w:p>
    <w:p>
      <w:pPr>
        <w:pStyle w:val="IndentLeftRight"/>
        <w:ind w:firstLine="720" w:end="720"/>
        <w:jc w:val="both"/>
        <w:rPr/>
      </w:pPr>
      <w:r>
        <w:rPr/>
        <w:t>RESOLVED, that a dividend of $3.413 per share on the Cumulative Second Preferred Convertible Stock of the Company, covering the quarter ending September 30, 2001, be, and it hereby is, declared payable on October 1, 2001 to shareholders of record of said stock at the close of business on September 14, 2001; and</w:t>
      </w:r>
    </w:p>
    <w:p>
      <w:pPr>
        <w:pStyle w:val="IndentLeftRight"/>
        <w:jc w:val="both"/>
        <w:rPr/>
      </w:pPr>
      <w:r>
        <w:rPr/>
      </w:r>
    </w:p>
    <w:p>
      <w:pPr>
        <w:pStyle w:val="IndentLeftRight"/>
        <w:jc w:val="both"/>
        <w:rPr/>
      </w:pPr>
      <w:r>
        <w:rPr/>
        <w:tab/>
        <w:t>RESOLVED FURTHER, that a dividend of $0.125 per share on the Common Stock of the Company be, and it hereby is, declared payable on September 20, 2001 to shareholders of record of said stock at the close of business on September 4, 2001 out of the net profits or surplus of the Company available for the payment of dividends.</w:t>
      </w:r>
    </w:p>
    <w:p>
      <w:pPr>
        <w:pStyle w:val="IndentLeftRight"/>
        <w:ind w:firstLine="720" w:end="720"/>
        <w:jc w:val="both"/>
        <w:rPr/>
      </w:pPr>
      <w:r>
        <w:rPr/>
      </w:r>
    </w:p>
    <w:p>
      <w:pPr>
        <w:pStyle w:val="BodyText"/>
        <w:rPr/>
      </w:pPr>
      <w:r>
        <w:rPr/>
        <w:tab/>
      </w:r>
      <w:r>
        <w:rPr>
          <w:rFonts w:cs="Times New Roman" w:ascii="Times New Roman" w:hAnsi="Times New Roman"/>
          <w:sz w:val="26"/>
        </w:rPr>
        <w:t>Ms. Carter then stated that there were certain officer elections that management was recommending.  She noted that some of the elections related to the Risk Assessment and Control Group, which was a division of the Company.  Following a discussion, upon motion duly made by Dr. LeMaistre, seconded by Mr. Blake, and carried the following resolution was approved:</w:t>
      </w:r>
    </w:p>
    <w:p>
      <w:pPr>
        <w:pStyle w:val="BodyText"/>
        <w:rPr>
          <w:rFonts w:ascii="Times New Roman" w:hAnsi="Times New Roman" w:cs="Times New Roman"/>
          <w:sz w:val="26"/>
        </w:rPr>
      </w:pPr>
      <w:r>
        <w:rPr>
          <w:rFonts w:cs="Times New Roman" w:ascii="Times New Roman" w:hAnsi="Times New Roman"/>
          <w:sz w:val="26"/>
        </w:rPr>
      </w:r>
    </w:p>
    <w:p>
      <w:pPr>
        <w:pStyle w:val="IndentLeftRight"/>
        <w:ind w:firstLine="720" w:end="720"/>
        <w:rPr/>
      </w:pPr>
      <w:r>
        <w:rPr/>
        <w:t>RESOLVED, that the following persons be, and each hereby is, elected to the position set forth opposite their names, to serve for the ensuing year and until their successors are duly elected and qualified:</w:t>
      </w:r>
    </w:p>
    <w:p>
      <w:pPr>
        <w:pStyle w:val="Normal"/>
        <w:rPr/>
      </w:pPr>
      <w:r>
        <w:rPr/>
      </w:r>
    </w:p>
    <w:p>
      <w:pPr>
        <w:pStyle w:val="IndentLeftRight"/>
        <w:tabs>
          <w:tab w:val="clear" w:pos="720"/>
          <w:tab w:val="left" w:pos="4500" w:leader="none"/>
          <w:tab w:val="left" w:pos="4860" w:leader="none"/>
        </w:tabs>
        <w:ind w:start="558" w:end="-720"/>
        <w:rPr/>
      </w:pPr>
      <w:r>
        <w:rPr/>
        <w:t xml:space="preserve">William R. Lemmons, Jr. </w:t>
        <w:tab/>
        <w:tab/>
        <w:t xml:space="preserve">Vice President, Corporate </w:t>
      </w:r>
    </w:p>
    <w:p>
      <w:pPr>
        <w:pStyle w:val="IndentLeftRight"/>
        <w:tabs>
          <w:tab w:val="clear" w:pos="720"/>
          <w:tab w:val="left" w:pos="4500" w:leader="none"/>
          <w:tab w:val="left" w:pos="4860" w:leader="none"/>
          <w:tab w:val="left" w:pos="8856" w:leader="none"/>
        </w:tabs>
        <w:ind w:start="558" w:end="270"/>
        <w:rPr/>
      </w:pPr>
      <w:r>
        <w:rPr/>
        <w:tab/>
        <w:tab/>
        <w:t>Analyst Program</w:t>
      </w:r>
    </w:p>
    <w:p>
      <w:pPr>
        <w:pStyle w:val="IndentLeftRight"/>
        <w:tabs>
          <w:tab w:val="clear" w:pos="720"/>
          <w:tab w:val="left" w:pos="4860" w:leader="none"/>
          <w:tab w:val="left" w:pos="8856" w:leader="none"/>
        </w:tabs>
        <w:ind w:start="558" w:end="-540"/>
        <w:rPr/>
      </w:pPr>
      <w:r>
        <w:rPr/>
        <w:t>David R. Oxley</w:t>
        <w:tab/>
        <w:t>Vice President, Human Resources</w:t>
      </w:r>
    </w:p>
    <w:p>
      <w:pPr>
        <w:pStyle w:val="IndentLeftRight"/>
        <w:tabs>
          <w:tab w:val="clear" w:pos="720"/>
          <w:tab w:val="left" w:pos="4860" w:leader="none"/>
          <w:tab w:val="left" w:pos="8856" w:leader="none"/>
        </w:tabs>
        <w:ind w:start="558" w:end="270"/>
        <w:rPr/>
      </w:pPr>
      <w:r>
        <w:rPr/>
        <w:t>Mark R. Pickering</w:t>
        <w:tab/>
        <w:t xml:space="preserve">Vice President, Technology </w:t>
      </w:r>
    </w:p>
    <w:p>
      <w:pPr>
        <w:pStyle w:val="Normal"/>
        <w:rPr/>
      </w:pPr>
      <w:r>
        <w:rPr/>
      </w:r>
    </w:p>
    <w:p>
      <w:pPr>
        <w:pStyle w:val="IndentLeftRight"/>
        <w:ind w:firstLine="720" w:end="720"/>
        <w:jc w:val="both"/>
        <w:rPr/>
      </w:pPr>
      <w:r>
        <w:rPr/>
        <w:t>RESOLVED, that the following persons are hereby appointed to the office shown opposite each person’s name of Risk Assessment and Control Group, a division of the Company:</w:t>
      </w:r>
    </w:p>
    <w:p>
      <w:pPr>
        <w:pStyle w:val="Normal"/>
        <w:rPr/>
      </w:pPr>
      <w:r>
        <w:rPr/>
      </w:r>
    </w:p>
    <w:p>
      <w:pPr>
        <w:pStyle w:val="Normal"/>
        <w:tabs>
          <w:tab w:val="clear" w:pos="720"/>
          <w:tab w:val="left" w:pos="5040" w:leader="none"/>
          <w:tab w:val="left" w:pos="9198" w:leader="none"/>
        </w:tabs>
        <w:ind w:start="558" w:end="0"/>
        <w:rPr/>
      </w:pPr>
      <w:r>
        <w:rPr/>
        <w:t>William S. Bradford</w:t>
        <w:tab/>
        <w:t>Vice President</w:t>
      </w:r>
    </w:p>
    <w:p>
      <w:pPr>
        <w:pStyle w:val="Normal"/>
        <w:tabs>
          <w:tab w:val="clear" w:pos="720"/>
          <w:tab w:val="left" w:pos="5040" w:leader="none"/>
          <w:tab w:val="left" w:pos="9198" w:leader="none"/>
        </w:tabs>
        <w:ind w:start="558" w:end="0"/>
        <w:rPr/>
      </w:pPr>
      <w:r>
        <w:rPr/>
        <w:t>Richard L. Carson</w:t>
        <w:tab/>
        <w:t>Vice President</w:t>
      </w:r>
    </w:p>
    <w:p>
      <w:pPr>
        <w:pStyle w:val="Normal"/>
        <w:tabs>
          <w:tab w:val="clear" w:pos="720"/>
          <w:tab w:val="left" w:pos="5040" w:leader="none"/>
          <w:tab w:val="left" w:pos="9198" w:leader="none"/>
        </w:tabs>
        <w:ind w:hanging="522" w:start="1080" w:end="0"/>
        <w:rPr/>
      </w:pPr>
      <w:r>
        <w:rPr/>
        <w:t>Wanda C. Curry</w:t>
        <w:tab/>
        <w:t>Vice President</w:t>
      </w:r>
    </w:p>
    <w:p>
      <w:pPr>
        <w:pStyle w:val="Normal"/>
        <w:tabs>
          <w:tab w:val="clear" w:pos="720"/>
          <w:tab w:val="left" w:pos="5040" w:leader="none"/>
          <w:tab w:val="left" w:pos="9198" w:leader="none"/>
        </w:tabs>
        <w:ind w:hanging="522" w:start="1080" w:end="0"/>
        <w:rPr/>
      </w:pPr>
      <w:r>
        <w:rPr/>
        <w:t>David B. Gorte</w:t>
        <w:tab/>
        <w:t>Vice President</w:t>
      </w:r>
    </w:p>
    <w:p>
      <w:pPr>
        <w:pStyle w:val="Normal"/>
        <w:tabs>
          <w:tab w:val="clear" w:pos="720"/>
          <w:tab w:val="left" w:pos="5040" w:leader="none"/>
          <w:tab w:val="left" w:pos="9198" w:leader="none"/>
        </w:tabs>
        <w:ind w:hanging="522" w:start="1080" w:end="0"/>
        <w:rPr/>
      </w:pPr>
      <w:r>
        <w:rPr/>
        <w:t>Bradford O. Larson</w:t>
        <w:tab/>
        <w:t>Vice President</w:t>
      </w:r>
    </w:p>
    <w:p>
      <w:pPr>
        <w:pStyle w:val="Normal"/>
        <w:tabs>
          <w:tab w:val="clear" w:pos="720"/>
          <w:tab w:val="left" w:pos="5040" w:leader="none"/>
          <w:tab w:val="left" w:pos="9198" w:leader="none"/>
        </w:tabs>
        <w:ind w:hanging="522" w:start="1080" w:end="0"/>
        <w:rPr/>
      </w:pPr>
      <w:r>
        <w:rPr/>
        <w:t>Theodore R. Murphy</w:t>
        <w:tab/>
        <w:t>Vice President</w:t>
      </w:r>
    </w:p>
    <w:p>
      <w:pPr>
        <w:pStyle w:val="Normal"/>
        <w:tabs>
          <w:tab w:val="clear" w:pos="720"/>
          <w:tab w:val="left" w:pos="5040" w:leader="none"/>
          <w:tab w:val="left" w:pos="9198" w:leader="none"/>
        </w:tabs>
        <w:ind w:hanging="522" w:start="1080" w:end="0"/>
        <w:rPr/>
      </w:pPr>
      <w:r>
        <w:rPr/>
        <w:t>Kurt R. Petersen</w:t>
        <w:tab/>
        <w:t>Vice President</w:t>
      </w:r>
    </w:p>
    <w:p>
      <w:pPr>
        <w:pStyle w:val="Normal"/>
        <w:tabs>
          <w:tab w:val="clear" w:pos="720"/>
          <w:tab w:val="left" w:pos="5040" w:leader="none"/>
          <w:tab w:val="left" w:pos="9198" w:leader="none"/>
        </w:tabs>
        <w:ind w:hanging="522" w:start="1080" w:end="0"/>
        <w:rPr/>
      </w:pPr>
      <w:r>
        <w:rPr/>
        <w:t>Mark A. Ruane</w:t>
        <w:tab/>
        <w:t>Vice President</w:t>
      </w:r>
    </w:p>
    <w:p>
      <w:pPr>
        <w:pStyle w:val="Normal"/>
        <w:tabs>
          <w:tab w:val="clear" w:pos="720"/>
          <w:tab w:val="left" w:pos="5040" w:leader="none"/>
          <w:tab w:val="left" w:pos="9198" w:leader="none"/>
        </w:tabs>
        <w:ind w:hanging="522" w:start="1080" w:end="0"/>
        <w:rPr/>
      </w:pPr>
      <w:r>
        <w:rPr/>
        <w:t>Charles E. Schneider</w:t>
        <w:tab/>
        <w:t>Vice President</w:t>
      </w:r>
    </w:p>
    <w:p>
      <w:pPr>
        <w:pStyle w:val="Normal"/>
        <w:tabs>
          <w:tab w:val="clear" w:pos="720"/>
          <w:tab w:val="left" w:pos="5040" w:leader="none"/>
          <w:tab w:val="left" w:pos="9198" w:leader="none"/>
        </w:tabs>
        <w:ind w:hanging="522" w:start="1080" w:end="0"/>
        <w:rPr/>
      </w:pPr>
      <w:r>
        <w:rPr/>
        <w:t>Michael A. Tribolet</w:t>
        <w:tab/>
        <w:t>Vice President</w:t>
      </w:r>
    </w:p>
    <w:p>
      <w:pPr>
        <w:pStyle w:val="Normal"/>
        <w:rPr/>
      </w:pPr>
      <w:r>
        <w:rPr/>
      </w:r>
    </w:p>
    <w:p>
      <w:pPr>
        <w:pStyle w:val="IndentLeftRight"/>
        <w:ind w:firstLine="720" w:end="720"/>
        <w:jc w:val="both"/>
        <w:rPr/>
      </w:pPr>
      <w:r>
        <w:rPr/>
        <w:t>RESOLVED FURTHER, that the following person be, and she hereby is, appointed to the office shown opposite her name, of Risk Assessment and Control Group, a division of the Company, and that the effective date of her election be, and hereby is ratified as of, September 15, 2000.</w:t>
      </w:r>
    </w:p>
    <w:p>
      <w:pPr>
        <w:pStyle w:val="IndentLeftRight"/>
        <w:ind w:firstLine="720" w:end="720"/>
        <w:jc w:val="both"/>
        <w:rPr/>
      </w:pPr>
      <w:r>
        <w:rPr/>
      </w:r>
    </w:p>
    <w:p>
      <w:pPr>
        <w:pStyle w:val="Normal"/>
        <w:tabs>
          <w:tab w:val="clear" w:pos="720"/>
          <w:tab w:val="left" w:pos="5040" w:leader="none"/>
          <w:tab w:val="left" w:pos="8928" w:leader="none"/>
        </w:tabs>
        <w:ind w:start="1080" w:end="0"/>
        <w:rPr/>
      </w:pPr>
      <w:r>
        <w:rPr/>
        <w:t>Cassandra R. Schultz</w:t>
        <w:tab/>
        <w:t>Vice President</w:t>
      </w:r>
    </w:p>
    <w:p>
      <w:pPr>
        <w:pStyle w:val="IndentLeftRight"/>
        <w:ind w:start="0" w:end="720"/>
        <w:jc w:val="both"/>
        <w:rPr/>
      </w:pPr>
      <w:r>
        <w:rPr/>
      </w:r>
    </w:p>
    <w:p>
      <w:pPr>
        <w:pStyle w:val="BodyText"/>
        <w:rPr>
          <w:rFonts w:ascii="Times New Roman" w:hAnsi="Times New Roman" w:cs="Times New Roman"/>
          <w:sz w:val="26"/>
        </w:rPr>
      </w:pPr>
      <w:r>
        <w:rPr>
          <w:rFonts w:cs="Times New Roman" w:ascii="Times New Roman" w:hAnsi="Times New Roman"/>
          <w:sz w:val="26"/>
        </w:rPr>
        <w:tab/>
        <w:t>Ms Carter then stated that Enron Capital Management (“ECM”), a division of the Company, was proposing changing its name to Enron Global Finance.  She noted that since ECM was a division of the Company it was necessary for the Board to approve the proposal.  Following a discussion, upon motion duly made by Mr. Blake, seconded by Mr. Belfer, and carried the following resolution was approved:</w:t>
      </w:r>
    </w:p>
    <w:p>
      <w:pPr>
        <w:pStyle w:val="Normal"/>
        <w:ind w:start="720" w:end="749"/>
        <w:jc w:val="both"/>
        <w:rPr>
          <w:rFonts w:ascii="Times New Roman" w:hAnsi="Times New Roman" w:cs="Times New Roman"/>
          <w:sz w:val="26"/>
        </w:rPr>
      </w:pPr>
      <w:r>
        <w:rPr>
          <w:rFonts w:cs="Times New Roman"/>
          <w:sz w:val="26"/>
        </w:rPr>
      </w:r>
    </w:p>
    <w:p>
      <w:pPr>
        <w:pStyle w:val="Normal"/>
        <w:tabs>
          <w:tab w:val="left" w:pos="720" w:leader="none"/>
          <w:tab w:val="left" w:pos="1440" w:leader="none"/>
          <w:tab w:val="left" w:pos="5040" w:leader="none"/>
          <w:tab w:val="left" w:pos="7200" w:leader="none"/>
        </w:tabs>
        <w:suppressAutoHyphens w:val="true"/>
        <w:spacing w:lineRule="atLeast" w:line="240"/>
        <w:ind w:start="720" w:end="720"/>
        <w:jc w:val="both"/>
        <w:rPr>
          <w:spacing w:val="-3"/>
        </w:rPr>
      </w:pPr>
      <w:r>
        <w:rPr>
          <w:spacing w:val="-3"/>
        </w:rPr>
        <w:tab/>
        <w:t>RESOLVED, that it is deemed advisable to change the name of Enron Capital Management, a division of the Company, to Enron Global Finance, a division of the Company (the “Division”), effective immediately;</w:t>
      </w:r>
    </w:p>
    <w:p>
      <w:pPr>
        <w:pStyle w:val="Normal"/>
        <w:tabs>
          <w:tab w:val="left" w:pos="720" w:leader="none"/>
          <w:tab w:val="left" w:pos="1440" w:leader="none"/>
          <w:tab w:val="left" w:pos="5040" w:leader="none"/>
          <w:tab w:val="left" w:pos="7200" w:leader="none"/>
        </w:tabs>
        <w:suppressAutoHyphens w:val="true"/>
        <w:spacing w:lineRule="atLeast" w:line="240"/>
        <w:ind w:start="720" w:end="720"/>
        <w:jc w:val="both"/>
        <w:rPr>
          <w:spacing w:val="-3"/>
        </w:rPr>
      </w:pPr>
      <w:r>
        <w:rPr>
          <w:spacing w:val="-3"/>
        </w:rPr>
      </w:r>
    </w:p>
    <w:p>
      <w:pPr>
        <w:pStyle w:val="BlockText"/>
        <w:rPr/>
      </w:pPr>
      <w:r>
        <w:rPr>
          <w:spacing w:val="-3"/>
          <w:sz w:val="26"/>
        </w:rPr>
        <w:tab/>
        <w:t xml:space="preserve">RESOLVED FURTHER, </w:t>
      </w:r>
      <w:r>
        <w:rPr>
          <w:sz w:val="26"/>
        </w:rPr>
        <w:t>that the following named persons be, and hereby are, elected to the office or offices shown opposite such person's name, constituting the entire and complete slate of officers of the Division, effective immediately, to serve at the pleasure of the Board of Directors or until their successors shall have been elected and qualified:</w:t>
      </w:r>
    </w:p>
    <w:p>
      <w:pPr>
        <w:pStyle w:val="Normal"/>
        <w:ind w:start="720" w:end="720"/>
        <w:jc w:val="both"/>
        <w:rPr>
          <w:sz w:val="26"/>
        </w:rPr>
      </w:pPr>
      <w:r>
        <w:rPr>
          <w:sz w:val="26"/>
        </w:rPr>
      </w:r>
    </w:p>
    <w:p>
      <w:pPr>
        <w:pStyle w:val="Normal"/>
        <w:ind w:end="720"/>
        <w:rPr/>
      </w:pPr>
      <w:r>
        <w:rPr/>
        <w:tab/>
        <w:tab/>
        <w:tab/>
      </w:r>
      <w:r>
        <w:rPr>
          <w:u w:val="single"/>
        </w:rPr>
        <w:t>Officer</w:t>
      </w:r>
      <w:r>
        <w:rPr/>
        <w:tab/>
        <w:tab/>
        <w:tab/>
      </w:r>
      <w:r>
        <w:rPr>
          <w:u w:val="single"/>
        </w:rPr>
        <w:t>Title</w:t>
      </w:r>
    </w:p>
    <w:p>
      <w:pPr>
        <w:pStyle w:val="Normal"/>
        <w:autoSpaceDE w:val="false"/>
        <w:ind w:start="1080" w:end="0"/>
        <w:rPr/>
      </w:pPr>
      <w:r>
        <w:rPr/>
        <w:t>Andrew S. Fastow</w:t>
        <w:tab/>
        <w:tab/>
        <w:tab/>
        <w:t>Executive Vice President</w:t>
      </w:r>
    </w:p>
    <w:p>
      <w:pPr>
        <w:pStyle w:val="Normal"/>
        <w:autoSpaceDE w:val="false"/>
        <w:ind w:start="1080" w:end="0"/>
        <w:rPr/>
      </w:pPr>
      <w:r>
        <w:rPr/>
        <w:t>Ben F. Glisan, Jr.</w:t>
        <w:tab/>
        <w:tab/>
        <w:tab/>
        <w:t>Managing Director</w:t>
      </w:r>
    </w:p>
    <w:p>
      <w:pPr>
        <w:pStyle w:val="Normal"/>
        <w:autoSpaceDE w:val="false"/>
        <w:ind w:firstLine="360" w:start="720" w:end="0"/>
        <w:rPr/>
      </w:pPr>
      <w:r>
        <w:rPr/>
        <w:t>Jordan H. Mintz</w:t>
        <w:tab/>
        <w:tab/>
        <w:tab/>
        <w:tab/>
        <w:t>General Counsel</w:t>
      </w:r>
    </w:p>
    <w:p>
      <w:pPr>
        <w:pStyle w:val="Normal"/>
        <w:autoSpaceDE w:val="false"/>
        <w:ind w:start="1080" w:end="0"/>
        <w:rPr/>
      </w:pPr>
      <w:r>
        <w:rPr/>
        <w:t>Peter N. Anderson</w:t>
        <w:tab/>
        <w:tab/>
        <w:tab/>
        <w:t>Vice President</w:t>
      </w:r>
    </w:p>
    <w:p>
      <w:pPr>
        <w:pStyle w:val="Normal"/>
        <w:autoSpaceDE w:val="false"/>
        <w:ind w:start="1080" w:end="0"/>
        <w:rPr/>
      </w:pPr>
      <w:r>
        <w:rPr/>
        <w:t>Kelly H. Boots</w:t>
        <w:tab/>
        <w:tab/>
        <w:tab/>
        <w:tab/>
        <w:t>Vice President</w:t>
      </w:r>
    </w:p>
    <w:p>
      <w:pPr>
        <w:pStyle w:val="Normal"/>
        <w:autoSpaceDE w:val="false"/>
        <w:ind w:start="1080" w:end="0"/>
        <w:rPr/>
      </w:pPr>
      <w:r>
        <w:rPr/>
        <w:t>Dan O. Boyle</w:t>
        <w:tab/>
        <w:tab/>
        <w:tab/>
        <w:tab/>
        <w:t>Vice President</w:t>
      </w:r>
    </w:p>
    <w:p>
      <w:pPr>
        <w:pStyle w:val="Normal"/>
        <w:autoSpaceDE w:val="false"/>
        <w:ind w:start="1080" w:end="0"/>
        <w:rPr/>
      </w:pPr>
      <w:r>
        <w:rPr/>
        <w:t>Daniel R. Castagnola</w:t>
        <w:tab/>
        <w:tab/>
        <w:tab/>
        <w:t>Vice President</w:t>
      </w:r>
    </w:p>
    <w:p>
      <w:pPr>
        <w:pStyle w:val="Normal"/>
        <w:autoSpaceDE w:val="false"/>
        <w:ind w:start="1080" w:end="0"/>
        <w:rPr/>
      </w:pPr>
      <w:r>
        <w:rPr/>
        <w:t>Charles DeLacey</w:t>
        <w:tab/>
        <w:tab/>
        <w:tab/>
        <w:tab/>
        <w:t>Vice President</w:t>
      </w:r>
    </w:p>
    <w:p>
      <w:pPr>
        <w:pStyle w:val="Normal"/>
        <w:autoSpaceDE w:val="false"/>
        <w:ind w:start="1080" w:end="0"/>
        <w:rPr/>
      </w:pPr>
      <w:r>
        <w:rPr/>
        <w:t>Timothy A. DeSpain</w:t>
        <w:tab/>
        <w:tab/>
        <w:tab/>
        <w:t>Vice President</w:t>
      </w:r>
    </w:p>
    <w:p>
      <w:pPr>
        <w:pStyle w:val="Normal"/>
        <w:autoSpaceDE w:val="false"/>
        <w:ind w:start="1080" w:end="0"/>
        <w:rPr/>
      </w:pPr>
      <w:r>
        <w:rPr/>
        <w:t>Michael J. Miller</w:t>
        <w:tab/>
        <w:tab/>
        <w:tab/>
        <w:tab/>
        <w:t>Vice President</w:t>
      </w:r>
    </w:p>
    <w:p>
      <w:pPr>
        <w:pStyle w:val="Normal"/>
        <w:autoSpaceDE w:val="false"/>
        <w:ind w:start="1080" w:end="0"/>
        <w:rPr/>
      </w:pPr>
      <w:r>
        <w:rPr/>
        <w:t>Mary A. Perkins</w:t>
        <w:tab/>
        <w:tab/>
        <w:tab/>
        <w:tab/>
        <w:t>Vice President</w:t>
      </w:r>
    </w:p>
    <w:p>
      <w:pPr>
        <w:pStyle w:val="Normal"/>
        <w:autoSpaceDE w:val="false"/>
        <w:ind w:start="1080" w:end="0"/>
        <w:rPr/>
      </w:pPr>
      <w:r>
        <w:rPr/>
        <w:t>Barry J. Schnapper</w:t>
        <w:tab/>
        <w:tab/>
        <w:tab/>
        <w:t>Vice President</w:t>
      </w:r>
    </w:p>
    <w:p>
      <w:pPr>
        <w:pStyle w:val="Normal"/>
        <w:autoSpaceDE w:val="false"/>
        <w:ind w:start="1080" w:end="0"/>
        <w:rPr/>
      </w:pPr>
      <w:r>
        <w:rPr/>
        <w:t>Brian R. Swinford</w:t>
        <w:tab/>
        <w:tab/>
        <w:tab/>
        <w:t>Vice President</w:t>
      </w:r>
    </w:p>
    <w:p>
      <w:pPr>
        <w:pStyle w:val="Normal"/>
        <w:autoSpaceDE w:val="false"/>
        <w:ind w:start="1080" w:end="0"/>
        <w:rPr/>
      </w:pPr>
      <w:r>
        <w:rPr/>
      </w:r>
    </w:p>
    <w:p>
      <w:pPr>
        <w:pStyle w:val="Normal"/>
        <w:widowControl w:val="false"/>
        <w:tabs>
          <w:tab w:val="clear" w:pos="720"/>
          <w:tab w:val="left" w:pos="1440" w:leader="none"/>
          <w:tab w:val="left" w:pos="7920" w:leader="none"/>
        </w:tabs>
        <w:autoSpaceDE w:val="false"/>
        <w:spacing w:lineRule="atLeast" w:line="240"/>
        <w:ind w:firstLine="720" w:start="720" w:end="720"/>
        <w:jc w:val="both"/>
        <w:rPr/>
      </w:pPr>
      <w:r>
        <w:rPr/>
        <w:t>RESOLVED FURTHER, that all actions taken on behalf of the Division by each of the above named persons in the capacity described herein on and prior to their respective date of election, are hereby ratified, confirmed and adopted by the Company, within the scope of their respective duties as stated in the Bylaws of the Company.</w:t>
      </w:r>
    </w:p>
    <w:p>
      <w:pPr>
        <w:pStyle w:val="Normal"/>
        <w:ind w:start="720" w:end="749"/>
        <w:jc w:val="both"/>
        <w:rPr/>
      </w:pPr>
      <w:r>
        <w:rPr/>
      </w:r>
    </w:p>
    <w:p>
      <w:pPr>
        <w:pStyle w:val="BodyText"/>
        <w:rPr>
          <w:rFonts w:ascii="Times New Roman" w:hAnsi="Times New Roman" w:cs="Times New Roman"/>
          <w:sz w:val="26"/>
        </w:rPr>
      </w:pPr>
      <w:r>
        <w:rPr>
          <w:rFonts w:cs="Times New Roman" w:ascii="Times New Roman" w:hAnsi="Times New Roman"/>
          <w:sz w:val="26"/>
        </w:rPr>
        <w:tab/>
        <w:t>Ms. Carter then stated that management was proposing the termination of the Shared Services Division, a division of the Company.  Following a discussion, upon motion duly made by Dr. Jaedicke, seconded by Mr. Belfer, and carried the following resolution was approved:</w:t>
      </w:r>
    </w:p>
    <w:p>
      <w:pPr>
        <w:pStyle w:val="Normal"/>
        <w:tabs>
          <w:tab w:val="left" w:pos="720" w:leader="none"/>
          <w:tab w:val="left" w:pos="1440" w:leader="none"/>
          <w:tab w:val="left" w:pos="5040" w:leader="none"/>
          <w:tab w:val="left" w:pos="7200" w:leader="none"/>
        </w:tabs>
        <w:ind w:start="720" w:end="749"/>
        <w:jc w:val="both"/>
        <w:rPr>
          <w:sz w:val="24"/>
        </w:rPr>
      </w:pPr>
      <w:r>
        <w:rPr>
          <w:sz w:val="24"/>
        </w:rPr>
        <w:tab/>
      </w:r>
    </w:p>
    <w:p>
      <w:pPr>
        <w:pStyle w:val="Normal"/>
        <w:tabs>
          <w:tab w:val="left" w:pos="720" w:leader="none"/>
          <w:tab w:val="left" w:pos="1440" w:leader="none"/>
          <w:tab w:val="left" w:pos="5040" w:leader="none"/>
          <w:tab w:val="left" w:pos="7200" w:leader="none"/>
        </w:tabs>
        <w:ind w:start="720" w:end="749"/>
        <w:jc w:val="both"/>
        <w:rPr/>
      </w:pPr>
      <w:r>
        <w:rPr>
          <w:sz w:val="24"/>
        </w:rPr>
        <w:tab/>
      </w:r>
      <w:r>
        <w:rPr/>
        <w:t>WHEREAS, Shared Services Division is operated as a division of the Company; and</w:t>
      </w:r>
    </w:p>
    <w:p>
      <w:pPr>
        <w:pStyle w:val="Normal"/>
        <w:tabs>
          <w:tab w:val="left" w:pos="720" w:leader="none"/>
          <w:tab w:val="left" w:pos="1440" w:leader="none"/>
          <w:tab w:val="left" w:pos="5040" w:leader="none"/>
          <w:tab w:val="left" w:pos="7200" w:leader="none"/>
        </w:tabs>
        <w:ind w:start="720" w:end="749"/>
        <w:jc w:val="both"/>
        <w:rPr/>
      </w:pPr>
      <w:r>
        <w:rPr/>
      </w:r>
    </w:p>
    <w:p>
      <w:pPr>
        <w:pStyle w:val="Normal"/>
        <w:tabs>
          <w:tab w:val="left" w:pos="720" w:leader="none"/>
          <w:tab w:val="left" w:pos="1440" w:leader="none"/>
          <w:tab w:val="left" w:pos="5040" w:leader="none"/>
          <w:tab w:val="left" w:pos="7200" w:leader="none"/>
        </w:tabs>
        <w:ind w:start="720" w:end="749"/>
        <w:jc w:val="both"/>
        <w:rPr/>
      </w:pPr>
      <w:r>
        <w:rPr/>
        <w:tab/>
        <w:t>WHEREAS, the Company no longer desires to continue Shared Services Division in existence as a division of the Company;</w:t>
      </w:r>
    </w:p>
    <w:p>
      <w:pPr>
        <w:pStyle w:val="Normal"/>
        <w:tabs>
          <w:tab w:val="left" w:pos="720" w:leader="none"/>
          <w:tab w:val="left" w:pos="1440" w:leader="none"/>
          <w:tab w:val="left" w:pos="5040" w:leader="none"/>
          <w:tab w:val="left" w:pos="7200" w:leader="none"/>
        </w:tabs>
        <w:ind w:start="720" w:end="749"/>
        <w:jc w:val="both"/>
        <w:rPr/>
      </w:pPr>
      <w:r>
        <w:rPr/>
      </w:r>
    </w:p>
    <w:p>
      <w:pPr>
        <w:pStyle w:val="Normal"/>
        <w:tabs>
          <w:tab w:val="left" w:pos="720" w:leader="none"/>
          <w:tab w:val="left" w:pos="1440" w:leader="none"/>
          <w:tab w:val="left" w:pos="5040" w:leader="none"/>
          <w:tab w:val="left" w:pos="7200" w:leader="none"/>
        </w:tabs>
        <w:ind w:start="720" w:end="749"/>
        <w:jc w:val="both"/>
        <w:rPr/>
      </w:pPr>
      <w:r>
        <w:rPr/>
        <w:tab/>
        <w:t>NOW, THEREFORE, IT IS RESOLVED, that the Company does hereby terminate Shared Services Division, effective immediately.</w:t>
      </w:r>
    </w:p>
    <w:p>
      <w:pPr>
        <w:pStyle w:val="Normal"/>
        <w:ind w:end="749"/>
        <w:jc w:val="both"/>
        <w:rPr/>
      </w:pPr>
      <w:r>
        <w:rPr/>
        <w:tab/>
      </w:r>
    </w:p>
    <w:p>
      <w:pPr>
        <w:pStyle w:val="BodyTextIndent3"/>
        <w:ind w:end="0"/>
        <w:rPr/>
      </w:pPr>
      <w:r>
        <w:rPr/>
        <w:t>Ms. Carter then distributed a proposed 2002 Board of Directors meeting schedule.  She asked that the Directors review the schedule and let her know if there were any conflicts.</w:t>
      </w:r>
    </w:p>
    <w:p>
      <w:pPr>
        <w:pStyle w:val="BodyTextIndent3"/>
        <w:ind w:end="0"/>
        <w:rPr/>
      </w:pPr>
      <w:r>
        <w:rPr/>
      </w:r>
    </w:p>
    <w:p>
      <w:pPr>
        <w:pStyle w:val="BodyTextIndent3"/>
        <w:ind w:end="0"/>
        <w:rPr/>
      </w:pPr>
      <w:r>
        <w:rPr/>
        <w:t>Ms. Carter and Mr. Derrick left the meeting at 11:25 a.m., C.D.T.</w:t>
      </w:r>
    </w:p>
    <w:p>
      <w:pPr>
        <w:pStyle w:val="BodyTextIndent3"/>
        <w:ind w:end="0"/>
        <w:rPr/>
      </w:pPr>
      <w:r>
        <w:rPr/>
      </w:r>
    </w:p>
    <w:p>
      <w:pPr>
        <w:pStyle w:val="BodyTextIndent3"/>
        <w:ind w:end="0"/>
        <w:rPr/>
      </w:pPr>
      <w:r>
        <w:rPr/>
        <w:t xml:space="preserve">Mr. Skilling left the meeting at 11:35 a.m., C.D.T. </w:t>
      </w:r>
    </w:p>
    <w:p>
      <w:pPr>
        <w:pStyle w:val="BodyTextIndent3"/>
        <w:ind w:end="0"/>
        <w:rPr/>
      </w:pPr>
      <w:r>
        <w:rPr/>
      </w:r>
    </w:p>
    <w:p>
      <w:pPr>
        <w:pStyle w:val="BodyTextIndent3"/>
        <w:ind w:end="0"/>
        <w:rPr/>
      </w:pPr>
      <w:r>
        <w:rPr/>
        <w:t>During the Executive session the Board discussed Mr. Skilling’s proposed resignation.  The Board then formed a Special Committee, consisting of Mr. Lay, Chairman, and Drs. LeMaistre and Mendelsohn, to make the final decision regarding the acceptance of Mr. Skilling’s resignation. The Special Committee meeting time was set at 3:00 p.m., C.D.T., August 14, 2001.</w:t>
      </w:r>
    </w:p>
    <w:p>
      <w:pPr>
        <w:pStyle w:val="BodyTextIndent3"/>
        <w:ind w:end="0"/>
        <w:rPr/>
      </w:pPr>
      <w:r>
        <w:rPr/>
      </w:r>
    </w:p>
    <w:p>
      <w:pPr>
        <w:pStyle w:val="BodyText"/>
        <w:rPr>
          <w:rFonts w:ascii="Times New Roman" w:hAnsi="Times New Roman" w:cs="Times New Roman"/>
          <w:sz w:val="26"/>
        </w:rPr>
      </w:pPr>
      <w:r>
        <w:rPr>
          <w:rFonts w:cs="Times New Roman" w:ascii="Times New Roman" w:hAnsi="Times New Roman"/>
          <w:sz w:val="26"/>
        </w:rPr>
        <w:tab/>
        <w:t>There being no further business to come before the Board, the meeting was adjourned at 12:20 p.m., C.D.T.</w:t>
      </w:r>
    </w:p>
    <w:p>
      <w:pPr>
        <w:pStyle w:val="Normal"/>
        <w:jc w:val="both"/>
        <w:rPr>
          <w:rFonts w:ascii="Times New Roman" w:hAnsi="Times New Roman" w:cs="Times New Roman"/>
          <w:sz w:val="26"/>
        </w:rPr>
      </w:pPr>
      <w:r>
        <w:rPr>
          <w:rFonts w:cs="Times New Roman"/>
          <w:sz w:val="26"/>
        </w:rPr>
      </w:r>
    </w:p>
    <w:p>
      <w:pPr>
        <w:pStyle w:val="Normal"/>
        <w:jc w:val="end"/>
        <w:rPr/>
      </w:pPr>
      <w:r>
        <w:rPr/>
        <w:tab/>
        <w:tab/>
        <w:tab/>
        <w:tab/>
        <w:tab/>
        <w:tab/>
        <w:t>________________________________</w:t>
      </w:r>
    </w:p>
    <w:p>
      <w:pPr>
        <w:pStyle w:val="Heading5"/>
        <w:ind w:firstLine="720" w:start="720" w:end="0"/>
        <w:rPr>
          <w:sz w:val="26"/>
        </w:rPr>
      </w:pPr>
      <w:r>
        <w:rPr>
          <w:sz w:val="26"/>
        </w:rPr>
        <w:tab/>
        <w:tab/>
        <w:tab/>
        <w:tab/>
        <w:t xml:space="preserve">  Secretary</w:t>
      </w:r>
    </w:p>
    <w:p>
      <w:pPr>
        <w:pStyle w:val="Normal"/>
        <w:jc w:val="end"/>
        <w:rPr>
          <w:sz w:val="26"/>
        </w:rPr>
      </w:pPr>
      <w:r>
        <w:rPr>
          <w:sz w:val="26"/>
        </w:rPr>
      </w:r>
    </w:p>
    <w:p>
      <w:pPr>
        <w:pStyle w:val="Normal"/>
        <w:jc w:val="both"/>
        <w:rPr/>
      </w:pPr>
      <w:r>
        <w:rPr/>
        <w:t>APPROVED:</w:t>
      </w:r>
    </w:p>
    <w:p>
      <w:pPr>
        <w:pStyle w:val="Normal"/>
        <w:jc w:val="both"/>
        <w:rPr/>
      </w:pPr>
      <w:r>
        <w:rPr/>
        <w:t>__________________________________</w:t>
      </w:r>
    </w:p>
    <w:p>
      <w:pPr>
        <w:pStyle w:val="Normal"/>
        <w:jc w:val="both"/>
        <w:rPr/>
      </w:pPr>
      <w:r>
        <w:rPr/>
        <w:t>Chairman</w:t>
      </w:r>
    </w:p>
    <w:p>
      <w:pPr>
        <w:pStyle w:val="Normal"/>
        <w:jc w:val="both"/>
        <w:rPr/>
      </w:pPr>
      <w:r>
        <w:rPr/>
      </w:r>
    </w:p>
    <w:p>
      <w:pPr>
        <w:pStyle w:val="Norma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/mnt/main-storage/datasets/enron-docs/doc/081401.doc</w:t>
      </w:r>
      <w:r>
        <w:rPr>
          <w:sz w:val="16"/>
        </w:rPr>
        <w:fldChar w:fldCharType="end"/>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keepNext w:val="true"/>
      <w:numPr>
        <w:ilvl w:val="1"/>
        <w:numId w:val="1"/>
      </w:numPr>
      <w:ind w:hanging="0" w:start="1469" w:end="0"/>
      <w:outlineLvl w:val="1"/>
    </w:pPr>
    <w:rPr>
      <w:sz w:val="24"/>
    </w:rPr>
  </w:style>
  <w:style w:type="paragraph" w:styleId="Heading3">
    <w:name w:val="heading 3"/>
    <w:basedOn w:val="Normal"/>
    <w:next w:val="Normal"/>
    <w:qFormat/>
    <w:pPr>
      <w:keepNext w:val="true"/>
      <w:numPr>
        <w:ilvl w:val="2"/>
        <w:numId w:val="1"/>
      </w:numPr>
      <w:ind w:firstLine="715" w:start="0" w:end="0"/>
      <w:jc w:val="both"/>
      <w:outlineLvl w:val="2"/>
    </w:pPr>
    <w:rPr>
      <w:i/>
      <w:sz w:val="24"/>
    </w:rPr>
  </w:style>
  <w:style w:type="paragraph" w:styleId="Heading4">
    <w:name w:val="heading 4"/>
    <w:basedOn w:val="Normal"/>
    <w:next w:val="Normal"/>
    <w:qFormat/>
    <w:pPr>
      <w:keepNext w:val="true"/>
      <w:numPr>
        <w:ilvl w:val="3"/>
        <w:numId w:val="1"/>
      </w:numPr>
      <w:jc w:val="end"/>
      <w:outlineLvl w:val="3"/>
    </w:pPr>
    <w:rPr>
      <w:b/>
      <w:i/>
      <w:iCs/>
      <w:sz w:val="28"/>
    </w:rPr>
  </w:style>
  <w:style w:type="paragraph" w:styleId="Heading5">
    <w:name w:val="heading 5"/>
    <w:basedOn w:val="Normal"/>
    <w:next w:val="Normal"/>
    <w:qFormat/>
    <w:pPr>
      <w:keepNext w:val="true"/>
      <w:numPr>
        <w:ilvl w:val="4"/>
        <w:numId w:val="1"/>
      </w:numPr>
      <w:outlineLvl w:val="4"/>
    </w:pPr>
    <w:rPr>
      <w:sz w:val="25"/>
    </w:rPr>
  </w:style>
  <w:style w:type="paragraph" w:styleId="Heading6">
    <w:name w:val="heading 6"/>
    <w:basedOn w:val="Normal"/>
    <w:next w:val="Normal"/>
    <w:qFormat/>
    <w:pPr>
      <w:keepNext w:val="true"/>
      <w:numPr>
        <w:ilvl w:val="5"/>
        <w:numId w:val="1"/>
      </w:numPr>
      <w:jc w:val="both"/>
      <w:outlineLvl w:val="5"/>
    </w:pPr>
    <w:rPr>
      <w:i/>
      <w:iCs/>
    </w:rPr>
  </w:style>
  <w:style w:type="paragraph" w:styleId="Heading7">
    <w:name w:val="heading 7"/>
    <w:basedOn w:val="Normal"/>
    <w:next w:val="Normal"/>
    <w:qFormat/>
    <w:pPr>
      <w:keepNext w:val="true"/>
      <w:numPr>
        <w:ilvl w:val="6"/>
        <w:numId w:val="1"/>
      </w:numPr>
      <w:tabs>
        <w:tab w:val="clear" w:pos="720"/>
        <w:tab w:val="left" w:pos="1440" w:leader="none"/>
        <w:tab w:val="left" w:pos="5040" w:leader="none"/>
        <w:tab w:val="left" w:pos="7200" w:leader="none"/>
      </w:tabs>
      <w:suppressAutoHyphens w:val="true"/>
      <w:spacing w:lineRule="atLeast" w:line="240"/>
      <w:ind w:hanging="0" w:start="0" w:end="720"/>
      <w:jc w:val="both"/>
      <w:outlineLvl w:val="6"/>
    </w:pPr>
    <w:rPr>
      <w:i/>
      <w:iCs/>
      <w:spacing w:val="-3"/>
    </w:rPr>
  </w:style>
  <w:style w:type="paragraph" w:styleId="Heading8">
    <w:name w:val="heading 8"/>
    <w:basedOn w:val="Normal"/>
    <w:next w:val="Normal"/>
    <w:qFormat/>
    <w:pPr>
      <w:keepNext w:val="true"/>
      <w:numPr>
        <w:ilvl w:val="7"/>
        <w:numId w:val="1"/>
      </w:numPr>
      <w:outlineLvl w:val="7"/>
    </w:pPr>
    <w:rPr>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CG Times;Times New Roman" w:hAnsi="CG Times;Times New Roman" w:cs="CG Times;Times New Roman"/>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LeftRight">
    <w:name w:val="Indent Left &amp; Right"/>
    <w:basedOn w:val="Normal"/>
    <w:qFormat/>
    <w:pPr>
      <w:ind w:hanging="0" w:start="720" w:end="720"/>
    </w:pPr>
    <w:rPr/>
  </w:style>
  <w:style w:type="paragraph" w:styleId="BodyTextIndent">
    <w:name w:val="Body Text Indent"/>
    <w:basedOn w:val="Normal"/>
    <w:pPr>
      <w:ind w:firstLine="728" w:start="64"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left" w:pos="0" w:leader="none"/>
        <w:tab w:val="center" w:pos="4320" w:leader="none"/>
        <w:tab w:val="right" w:pos="8640" w:leader="none"/>
        <w:tab w:val="left" w:pos="9360" w:leader="none"/>
      </w:tabs>
    </w:pPr>
    <w:rPr>
      <w:rFonts w:ascii="CG Times;Times New Roman" w:hAnsi="CG Times;Times New Roman" w:cs="CG Times;Times New Roman"/>
      <w:sz w:val="24"/>
    </w:rPr>
  </w:style>
  <w:style w:type="paragraph" w:styleId="BodyTextIndent2">
    <w:name w:val="Body Text Indent 2"/>
    <w:basedOn w:val="Normal"/>
    <w:qFormat/>
    <w:pPr>
      <w:ind w:firstLine="713" w:start="0" w:end="0"/>
      <w:jc w:val="both"/>
    </w:pPr>
    <w:rPr>
      <w:sz w:val="24"/>
    </w:rPr>
  </w:style>
  <w:style w:type="paragraph" w:styleId="BlockText">
    <w:name w:val="Block Text"/>
    <w:basedOn w:val="Normal"/>
    <w:qFormat/>
    <w:pPr>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720"/>
      <w:jc w:val="both"/>
    </w:pPr>
    <w:rPr>
      <w:sz w:val="24"/>
    </w:rPr>
  </w:style>
  <w:style w:type="paragraph" w:styleId="BodyText2">
    <w:name w:val="Body Text 2"/>
    <w:basedOn w:val="Normal"/>
    <w:qFormat/>
    <w:pPr>
      <w:tabs>
        <w:tab w:val="clear" w:pos="720"/>
        <w:tab w:val="left" w:pos="-720" w:leader="none"/>
      </w:tabs>
      <w:suppressAutoHyphens w:val="true"/>
      <w:jc w:val="both"/>
    </w:pPr>
    <w:rPr/>
  </w:style>
  <w:style w:type="paragraph" w:styleId="BodyTextIndent3">
    <w:name w:val="Body Text Indent 3"/>
    <w:basedOn w:val="Normal"/>
    <w:qFormat/>
    <w:pPr>
      <w:ind w:firstLine="720" w:start="0" w:end="749"/>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2001-05-07T16:44:00Z</dcterms:created>
  <dc:creator>kjohnso</dc:creator>
  <dc:description/>
  <dc:language>en-CA</dc:language>
  <cp:lastModifiedBy>kjohnso</cp:lastModifiedBy>
  <cp:lastPrinted>2001-09-24T08:58:00Z</cp:lastPrinted>
  <dcterms:modified xsi:type="dcterms:W3CDTF">2001-09-24T17:52:00Z</dcterms:modified>
  <cp:revision>190</cp:revision>
  <dc:subject/>
  <dc:title>MINUTES</dc:title>
</cp:coreProperties>
</file>