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4"/>
          <w:u w:val="single"/>
        </w:rPr>
        <w:t>Action</w:t>
      </w:r>
      <w:r>
        <w:rPr>
          <w:sz w:val="24"/>
        </w:rPr>
        <w:t>:  Commit to finalize negotiation of a reformation of the QF contract with Las Vegas Cogeneration, Ltd. no later than mid-September (date to be specified by mutual agreement).</w:t>
      </w:r>
    </w:p>
    <w:p>
      <w:pPr>
        <w:pStyle w:val="Normal"/>
        <w:rPr>
          <w:sz w:val="24"/>
        </w:rPr>
      </w:pPr>
      <w:r>
        <w:rPr>
          <w:sz w:val="24"/>
        </w:rPr>
      </w:r>
    </w:p>
    <w:p>
      <w:pPr>
        <w:pStyle w:val="Normal"/>
        <w:rPr/>
      </w:pPr>
      <w:r>
        <w:rPr>
          <w:sz w:val="24"/>
          <w:u w:val="single"/>
        </w:rPr>
        <w:t>Background</w:t>
      </w:r>
      <w:r>
        <w:rPr>
          <w:sz w:val="24"/>
        </w:rPr>
        <w:t xml:space="preserve">:  Las Vegas Cogeneration, Ltd. is a 50 MW cogeneration facility located in North Las Vegas.  LV Cogen sells 45 MW of its output to Nevada Power Company under a long-term power purchased agreement.  The remaining 5 MW of output is marketed by ENA through a share-the-value mechanism with Nevada Power Company.  LV Cogen has been in operation for approximately 6 years.  </w:t>
      </w:r>
    </w:p>
    <w:p>
      <w:pPr>
        <w:pStyle w:val="Normal"/>
        <w:rPr>
          <w:sz w:val="24"/>
        </w:rPr>
      </w:pPr>
      <w:r>
        <w:rPr>
          <w:sz w:val="24"/>
        </w:rPr>
      </w:r>
    </w:p>
    <w:p>
      <w:pPr>
        <w:pStyle w:val="Normal"/>
        <w:rPr>
          <w:sz w:val="24"/>
        </w:rPr>
      </w:pPr>
      <w:r>
        <w:rPr>
          <w:sz w:val="24"/>
        </w:rPr>
        <w:t>ENA purchased an interest in LV Cogen in 1999.  Negotiations to reform or buy-out the contract have been underway virtually since ENA assumed ownership of the facility.  Buy-out negotiations faltered when NPCo made it clear that a buy-out would be contingent on securitization.  Nevada does not have a securitization statute.</w:t>
      </w:r>
    </w:p>
    <w:p>
      <w:pPr>
        <w:pStyle w:val="Normal"/>
        <w:rPr>
          <w:sz w:val="24"/>
        </w:rPr>
      </w:pPr>
      <w:r>
        <w:rPr>
          <w:sz w:val="24"/>
        </w:rPr>
      </w:r>
    </w:p>
    <w:p>
      <w:pPr>
        <w:pStyle w:val="Normal"/>
        <w:rPr>
          <w:sz w:val="24"/>
        </w:rPr>
      </w:pPr>
      <w:r>
        <w:rPr>
          <w:sz w:val="24"/>
        </w:rPr>
        <w:t>Recent negotiations have focused on reformation of the contract.  Current discussions would result in a reduction in the NPV of payments made under the contract.  In exchange for the reduction in payments, NPCo would:  (a) release LV Cogen from the obligations to operate as a QF; and (b) release LV Cogen from the obligation to deliver energy from the facility.</w: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rPr/>
      </w:pPr>
      <w:r>
        <w:rPr>
          <w:sz w:val="24"/>
          <w:u w:val="single"/>
        </w:rPr>
        <w:t>Action</w:t>
      </w:r>
      <w:r>
        <w:rPr>
          <w:sz w:val="24"/>
        </w:rPr>
        <w:t xml:space="preserve">:  Support Enron North America in its effort to become the “Independent Agent” responsible for administering the “annual QF auction” contemplated by the settlements reached by Sierra Pacific Power Company, Nevada Power Company and other parties to Federal District Court, CV-N-157 DWH VPC.   Support immediate selection of the “Independent Agent.”  Set November 1, 2000 as the start date for the Independent Agent. </w:t>
      </w:r>
    </w:p>
    <w:p>
      <w:pPr>
        <w:pStyle w:val="Normal"/>
        <w:rPr>
          <w:sz w:val="24"/>
        </w:rPr>
      </w:pPr>
      <w:r>
        <w:rPr>
          <w:sz w:val="24"/>
        </w:rPr>
      </w:r>
    </w:p>
    <w:p>
      <w:pPr>
        <w:pStyle w:val="Normal"/>
        <w:rPr/>
      </w:pPr>
      <w:r>
        <w:rPr>
          <w:sz w:val="24"/>
          <w:u w:val="single"/>
        </w:rPr>
        <w:t>Background</w:t>
      </w:r>
      <w:r>
        <w:rPr>
          <w:sz w:val="24"/>
        </w:rPr>
        <w:t>:   In mid-July Sierra, NPCo and other key parties to a variety of Nevada court and PUCN proceedings reached a global settlement.  Among other things, the settlement provides that NPCo and Sierra will allow large customers to have access to competing suppliers beginning November 1, 2000 (for NPCo) and April 1, 2001 (for Sierra).  The settlement also resolves a number of key past cost issues—including the treatment of  QF contract costs.</w:t>
      </w:r>
    </w:p>
    <w:p>
      <w:pPr>
        <w:pStyle w:val="Normal"/>
        <w:rPr>
          <w:sz w:val="24"/>
        </w:rPr>
      </w:pPr>
      <w:r>
        <w:rPr>
          <w:sz w:val="24"/>
        </w:rPr>
      </w:r>
    </w:p>
    <w:p>
      <w:pPr>
        <w:pStyle w:val="Normal"/>
        <w:rPr>
          <w:sz w:val="24"/>
        </w:rPr>
      </w:pPr>
      <w:r>
        <w:rPr>
          <w:sz w:val="24"/>
        </w:rPr>
        <w:t>With regard to these costs, the settlement provides for an initial “permanent” auction of the energy produced by QFs.  The settlement also provides for an “annual auction.”  Paragraph 19(B) states as follows:</w:t>
      </w:r>
    </w:p>
    <w:p>
      <w:pPr>
        <w:pStyle w:val="Normal"/>
        <w:rPr>
          <w:sz w:val="24"/>
        </w:rPr>
      </w:pPr>
      <w:r>
        <w:rPr>
          <w:sz w:val="24"/>
        </w:rPr>
      </w:r>
    </w:p>
    <w:p>
      <w:pPr>
        <w:pStyle w:val="BlockText"/>
        <w:rPr/>
      </w:pPr>
      <w:r>
        <w:rPr/>
        <w:t>The Companies, in collaboration with the Staff and the BCP, will secure the services of an independent agent.  The function of the independent agent is to determine the market price for and to market PPA energy and capacity annually on the wholesale markets.  Amounts received from the annual wholesale auction shall be an additional source of funds to meet the obligations under the PPAs.</w:t>
      </w:r>
    </w:p>
    <w:p>
      <w:pPr>
        <w:pStyle w:val="Normal"/>
        <w:rPr>
          <w:caps/>
          <w:sz w:val="24"/>
        </w:rPr>
      </w:pPr>
      <w:r>
        <w:rPr>
          <w:caps/>
          <w:sz w:val="24"/>
        </w:rPr>
      </w:r>
    </w:p>
    <w:p>
      <w:pPr>
        <w:pStyle w:val="Normal"/>
        <w:rPr>
          <w:caps/>
          <w:sz w:val="24"/>
        </w:rPr>
      </w:pPr>
      <w:r>
        <w:rPr>
          <w:caps/>
          <w:sz w:val="24"/>
        </w:rPr>
      </w:r>
    </w:p>
    <w:p>
      <w:pPr>
        <w:pStyle w:val="Normal"/>
        <w:rPr>
          <w:sz w:val="24"/>
        </w:rPr>
      </w:pPr>
      <w:r>
        <w:rPr>
          <w:sz w:val="24"/>
        </w:rPr>
        <w:t xml:space="preserve">The settlement further provides:  (a) that the permanent and annual auction shall constitute “mitigation” of QF costs; and (b) that Sierra and NPCo will accordingly be given full cost recovery of future QF PPA costs.  </w:t>
      </w:r>
    </w:p>
    <w:p>
      <w:pPr>
        <w:pStyle w:val="Normal"/>
        <w:rPr>
          <w:sz w:val="24"/>
        </w:rPr>
      </w:pPr>
      <w:r>
        <w:rPr>
          <w:sz w:val="24"/>
        </w:rPr>
      </w:r>
    </w:p>
    <w:p>
      <w:pPr>
        <w:pStyle w:val="Normal"/>
        <w:rPr>
          <w:sz w:val="24"/>
        </w:rPr>
      </w:pPr>
      <w:r>
        <w:rPr>
          <w:sz w:val="24"/>
        </w:rPr>
        <w:t xml:space="preserve">ENA would like to be chosen as the “Independent Agent” and has been meeting with Sierra and PUCN staff to accomplish this result.  ENA wants Sierra to:  (1) oppose the use of NRFP for the purposes of selecting the Independent Agent and any delay in choosing the independent agent; and (2) support the choice ENA as the independent agent. </w:t>
      </w:r>
    </w:p>
    <w:p>
      <w:pPr>
        <w:pStyle w:val="Normal"/>
        <w:rPr>
          <w:sz w:val="24"/>
        </w:rPr>
      </w:pPr>
      <w:r>
        <w:rPr>
          <w:sz w:val="24"/>
        </w:rPr>
        <w:t xml:space="preserve"> </w:t>
      </w:r>
    </w:p>
    <w:p>
      <w:pPr>
        <w:pStyle w:val="Normal"/>
        <w:rPr>
          <w:sz w:val="24"/>
        </w:rPr>
      </w:pPr>
      <w:r>
        <w:rPr>
          <w:sz w:val="24"/>
        </w:rPr>
      </w:r>
      <w:r>
        <w:br w:type="page"/>
      </w:r>
    </w:p>
    <w:p>
      <w:pPr>
        <w:pStyle w:val="Normal"/>
        <w:rPr/>
      </w:pPr>
      <w:r>
        <w:rPr>
          <w:sz w:val="24"/>
          <w:u w:val="single"/>
        </w:rPr>
        <w:t>Action</w:t>
      </w:r>
      <w:r>
        <w:rPr>
          <w:sz w:val="24"/>
        </w:rPr>
        <w:t xml:space="preserve">:  Execute an exclusive Letter of Intent with Enron North America as the supplier for Sierra and NPCo’s provider of last resort obligation. </w:t>
      </w:r>
    </w:p>
    <w:p>
      <w:pPr>
        <w:pStyle w:val="Normal"/>
        <w:rPr>
          <w:sz w:val="24"/>
        </w:rPr>
      </w:pPr>
      <w:r>
        <w:rPr>
          <w:sz w:val="24"/>
        </w:rPr>
      </w:r>
    </w:p>
    <w:p>
      <w:pPr>
        <w:pStyle w:val="Normal"/>
        <w:rPr/>
      </w:pPr>
      <w:r>
        <w:rPr>
          <w:sz w:val="24"/>
          <w:u w:val="single"/>
        </w:rPr>
        <w:t>Background</w:t>
      </w:r>
      <w:r>
        <w:rPr>
          <w:sz w:val="24"/>
        </w:rPr>
        <w:t>:   Nevada law requires Nevada Power Company and Sierra Pacific Power Company to provider service to customers that either do not choose, or cannot choose, an alternative seller once the Nevada retail market opens.  Service to these customers is called “provider of last resort” service.  Nevada law requires NPCo and Sierra to:  (a) be the PLR until July 1, 2001; and (b) assign the PLR service to a sole-purpose affiliate after July 1, 2001.  The PUCN may auction PLR service after July 1, 2001.  Further, an alternative seller (i.e., an ESP) can trigger an auction of PLR service after July 1, 2001.</w:t>
      </w:r>
    </w:p>
    <w:p>
      <w:pPr>
        <w:pStyle w:val="Normal"/>
        <w:rPr>
          <w:sz w:val="24"/>
        </w:rPr>
      </w:pPr>
      <w:r>
        <w:rPr>
          <w:sz w:val="24"/>
        </w:rPr>
      </w:r>
    </w:p>
    <w:p>
      <w:pPr>
        <w:pStyle w:val="Normal"/>
        <w:rPr>
          <w:sz w:val="24"/>
        </w:rPr>
      </w:pPr>
      <w:r>
        <w:rPr>
          <w:sz w:val="24"/>
        </w:rPr>
        <w:t>ENA and Sierra have had a number of meetings with Sierra to discuss ENA’s interest in supplying the PLR with both services and energy.  These meetings have included Sierra’s top management and ENA top management.  In this regard:  (a) Cliff Baxter and other ENA personnel met with Malyn Malquist (then Sierra’s number two); and (b) Dave Delainey, Chris Calger and Jake Thomas met with Mike Niggli.  On each of these occasions, Sierra’s management has expressed its support of ENA and its strong desire for ENA to make a proposal to serve as the PLR supplier.   Both Malquist and Niggli have instructed Sierra management to accommodate ENA’s requests for data necessary for ENA to make a PLR supplier proposal.</w:t>
      </w:r>
    </w:p>
    <w:p>
      <w:pPr>
        <w:pStyle w:val="Normal"/>
        <w:rPr>
          <w:sz w:val="24"/>
        </w:rPr>
      </w:pPr>
      <w:r>
        <w:rPr>
          <w:sz w:val="24"/>
        </w:rPr>
      </w:r>
    </w:p>
    <w:p>
      <w:pPr>
        <w:pStyle w:val="Normal"/>
        <w:rPr>
          <w:sz w:val="24"/>
        </w:rPr>
      </w:pPr>
      <w:r>
        <w:rPr>
          <w:sz w:val="24"/>
        </w:rPr>
        <w:t>To date, Sierra has not provided ENA with such data.  Further, ENA has not made a formal proposal to be the PLR supplier.</w:t>
      </w:r>
    </w:p>
    <w:p>
      <w:pPr>
        <w:pStyle w:val="Normal"/>
        <w:rPr>
          <w:sz w:val="24"/>
        </w:rPr>
      </w:pPr>
      <w:r>
        <w:rPr>
          <w:sz w:val="24"/>
        </w:rPr>
      </w:r>
    </w:p>
    <w:p>
      <w:pPr>
        <w:pStyle w:val="Normal"/>
        <w:rPr>
          <w:sz w:val="24"/>
        </w:rPr>
      </w:pPr>
      <w:r>
        <w:rPr>
          <w:sz w:val="24"/>
        </w:rPr>
        <w:t xml:space="preserve">In mid-July Sierra, NPCo and other key parties to a variety of Nevada court and PUCN proceedings reached a global settlement.  Among other things, the settlement provides that NPCo and Sierra will allow large customers to have access to competing suppliers beginning November 1, 2000 (for NPCo) and April 1, 2001 (for Sierra).  The settlement also provides NPCo and Sierra with a monthly power cost adjustment mechanism (subject to rate and fixed cost recovery bandwidths).  No other element of Nevada law regarding PLR service is modified by the settlement.   Additional proceedings are expected at the PUCN to finalize key tariff issues for the PLR (e.g., what are the customer’s rights to leave, and return to, PLR service).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2000-08-14T15:59:00Z</dcterms:created>
  <dc:creator>pkaufma</dc:creator>
  <dc:description/>
  <dc:language>en-CA</dc:language>
  <cp:lastModifiedBy>Lysa Akin</cp:lastModifiedBy>
  <dcterms:modified xsi:type="dcterms:W3CDTF">2000-08-15T20:18:00Z</dcterms:modified>
  <cp:revision>2</cp:revision>
  <dc:subject/>
  <dc:title>Action:  Commit to finalize negotiation of a reformation of the QF contract with Las Vegas Cogeneration, Ltd</dc:title>
</cp:coreProperties>
</file>