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MINUTES</w:t>
      </w:r>
    </w:p>
    <w:p>
      <w:pPr>
        <w:pStyle w:val="Normal"/>
        <w:jc w:val="center"/>
        <w:rPr>
          <w:b/>
          <w:sz w:val="26"/>
        </w:rPr>
      </w:pPr>
      <w:r>
        <w:rPr>
          <w:b/>
          <w:sz w:val="26"/>
        </w:rPr>
        <w:t>JOINT MEETING OF THE AUDIT AND COMPLIANCE</w:t>
      </w:r>
    </w:p>
    <w:p>
      <w:pPr>
        <w:pStyle w:val="Normal"/>
        <w:jc w:val="center"/>
        <w:rPr>
          <w:b/>
          <w:sz w:val="26"/>
        </w:rPr>
      </w:pPr>
      <w:r>
        <w:rPr>
          <w:b/>
          <w:sz w:val="26"/>
        </w:rPr>
        <w:t>AND THE FINANCE COMMITTEES</w:t>
      </w:r>
    </w:p>
    <w:p>
      <w:pPr>
        <w:pStyle w:val="Normal"/>
        <w:jc w:val="center"/>
        <w:rPr>
          <w:b/>
          <w:sz w:val="26"/>
        </w:rPr>
      </w:pPr>
      <w:r>
        <w:rPr>
          <w:b/>
          <w:sz w:val="26"/>
        </w:rPr>
        <w:t>OF THE BOARD OF DIRECTORS</w:t>
      </w:r>
    </w:p>
    <w:p>
      <w:pPr>
        <w:pStyle w:val="Normal"/>
        <w:jc w:val="center"/>
        <w:rPr>
          <w:b/>
          <w:sz w:val="26"/>
        </w:rPr>
      </w:pPr>
      <w:r>
        <w:rPr>
          <w:b/>
          <w:sz w:val="26"/>
        </w:rPr>
        <w:t>ENRON CORP.</w:t>
      </w:r>
    </w:p>
    <w:p>
      <w:pPr>
        <w:pStyle w:val="Normal"/>
        <w:jc w:val="center"/>
        <w:rPr>
          <w:b/>
          <w:sz w:val="26"/>
        </w:rPr>
      </w:pPr>
      <w:r>
        <w:rPr>
          <w:b/>
          <w:sz w:val="26"/>
        </w:rPr>
        <w:t>August 13, 2001</w:t>
      </w:r>
    </w:p>
    <w:p>
      <w:pPr>
        <w:pStyle w:val="Normal"/>
        <w:rPr>
          <w:b/>
          <w:sz w:val="26"/>
        </w:rPr>
      </w:pPr>
      <w:r>
        <w:rPr>
          <w:b/>
          <w:sz w:val="26"/>
        </w:rPr>
      </w:r>
    </w:p>
    <w:p>
      <w:pPr>
        <w:pStyle w:val="Normal"/>
        <w:jc w:val="both"/>
        <w:rPr>
          <w:sz w:val="26"/>
        </w:rPr>
      </w:pPr>
      <w:r>
        <w:rPr>
          <w:sz w:val="26"/>
        </w:rPr>
      </w:r>
    </w:p>
    <w:p>
      <w:pPr>
        <w:pStyle w:val="BodyText"/>
        <w:rPr/>
      </w:pPr>
      <w:r>
        <w:rPr/>
        <w:tab/>
        <w:t xml:space="preserve">Minutes of a joint meeting of the Audit and Compliance and Finance Committees ("Committee") of the Board of Directors of Enron Corp. ("Company"), noticed to begin at 3:30 p.m. C.D.T., but actually begun at 3:50 p.m., C.D.T., at the Enron Building in Houston, Texas.  </w:t>
      </w:r>
    </w:p>
    <w:p>
      <w:pPr>
        <w:pStyle w:val="Normal"/>
        <w:jc w:val="both"/>
        <w:rPr>
          <w:sz w:val="26"/>
        </w:rPr>
      </w:pPr>
      <w:r>
        <w:rPr>
          <w:sz w:val="26"/>
        </w:rPr>
      </w:r>
    </w:p>
    <w:p>
      <w:pPr>
        <w:pStyle w:val="BodyTextIndent"/>
        <w:rPr/>
      </w:pPr>
      <w:r>
        <w:rPr/>
        <w:t>All of the Committee members were present as follows:</w:t>
      </w:r>
    </w:p>
    <w:p>
      <w:pPr>
        <w:pStyle w:val="Normal"/>
        <w:jc w:val="both"/>
        <w:rPr>
          <w:sz w:val="26"/>
        </w:rPr>
      </w:pPr>
      <w:r>
        <w:rPr>
          <w:sz w:val="26"/>
        </w:rPr>
      </w:r>
    </w:p>
    <w:p>
      <w:pPr>
        <w:pStyle w:val="Normal"/>
        <w:tabs>
          <w:tab w:val="clear" w:pos="720"/>
          <w:tab w:val="left" w:pos="4428" w:leader="none"/>
          <w:tab w:val="left" w:pos="8856" w:leader="none"/>
        </w:tabs>
        <w:ind w:firstLine="720" w:end="0"/>
        <w:rPr>
          <w:sz w:val="26"/>
        </w:rPr>
      </w:pPr>
      <w:r>
        <w:rPr>
          <w:sz w:val="26"/>
        </w:rPr>
        <w:t>Mr. Herbert S. Winokur, Chairman, Finance Committee</w:t>
      </w:r>
    </w:p>
    <w:p>
      <w:pPr>
        <w:pStyle w:val="Normal"/>
        <w:tabs>
          <w:tab w:val="clear" w:pos="720"/>
          <w:tab w:val="left" w:pos="4428" w:leader="none"/>
          <w:tab w:val="left" w:pos="8856" w:leader="none"/>
        </w:tabs>
        <w:ind w:firstLine="720" w:end="0"/>
        <w:rPr>
          <w:sz w:val="26"/>
        </w:rPr>
      </w:pPr>
      <w:r>
        <w:rPr>
          <w:sz w:val="26"/>
        </w:rPr>
        <w:t>Dr. Robert K. Jaedicke, Chairman, Audit and Compliance Committee</w:t>
      </w:r>
    </w:p>
    <w:p>
      <w:pPr>
        <w:pStyle w:val="Normal"/>
        <w:tabs>
          <w:tab w:val="clear" w:pos="720"/>
          <w:tab w:val="left" w:pos="4428" w:leader="none"/>
          <w:tab w:val="left" w:pos="8856" w:leader="none"/>
        </w:tabs>
        <w:ind w:firstLine="720" w:end="0"/>
        <w:rPr>
          <w:sz w:val="26"/>
        </w:rPr>
      </w:pPr>
      <w:r>
        <w:rPr>
          <w:sz w:val="26"/>
        </w:rPr>
        <w:t>Mr. Robert A. Belfer</w:t>
      </w:r>
    </w:p>
    <w:p>
      <w:pPr>
        <w:pStyle w:val="Normal"/>
        <w:tabs>
          <w:tab w:val="clear" w:pos="720"/>
          <w:tab w:val="left" w:pos="4428" w:leader="none"/>
          <w:tab w:val="left" w:pos="8856" w:leader="none"/>
        </w:tabs>
        <w:ind w:firstLine="720" w:end="0"/>
        <w:rPr>
          <w:sz w:val="26"/>
        </w:rPr>
      </w:pPr>
      <w:r>
        <w:rPr>
          <w:sz w:val="26"/>
        </w:rPr>
        <w:t>Mr. Norman P. Blake, Jr.</w:t>
      </w:r>
    </w:p>
    <w:p>
      <w:pPr>
        <w:pStyle w:val="Normal"/>
        <w:tabs>
          <w:tab w:val="clear" w:pos="720"/>
          <w:tab w:val="left" w:pos="4428" w:leader="none"/>
          <w:tab w:val="left" w:pos="8856" w:leader="none"/>
        </w:tabs>
        <w:ind w:firstLine="720" w:end="0"/>
        <w:rPr>
          <w:sz w:val="26"/>
        </w:rPr>
      </w:pPr>
      <w:r>
        <w:rPr>
          <w:sz w:val="26"/>
        </w:rPr>
        <w:t>Mr. Ronnie C. Chan</w:t>
      </w:r>
    </w:p>
    <w:p>
      <w:pPr>
        <w:pStyle w:val="Normal"/>
        <w:tabs>
          <w:tab w:val="clear" w:pos="720"/>
          <w:tab w:val="left" w:pos="4428" w:leader="none"/>
          <w:tab w:val="left" w:pos="8856" w:leader="none"/>
        </w:tabs>
        <w:ind w:firstLine="720" w:end="0"/>
        <w:rPr>
          <w:sz w:val="26"/>
        </w:rPr>
      </w:pPr>
      <w:r>
        <w:rPr>
          <w:sz w:val="26"/>
        </w:rPr>
        <w:t>Dr. Wendy L. Gramm</w:t>
      </w:r>
    </w:p>
    <w:p>
      <w:pPr>
        <w:pStyle w:val="Normal"/>
        <w:tabs>
          <w:tab w:val="clear" w:pos="720"/>
          <w:tab w:val="left" w:pos="4428" w:leader="none"/>
          <w:tab w:val="left" w:pos="8856" w:leader="none"/>
        </w:tabs>
        <w:ind w:firstLine="720" w:end="0"/>
        <w:rPr>
          <w:sz w:val="26"/>
        </w:rPr>
      </w:pPr>
      <w:r>
        <w:rPr>
          <w:sz w:val="26"/>
        </w:rPr>
        <w:t>Dr. John Mendelsohn</w:t>
      </w:r>
    </w:p>
    <w:p>
      <w:pPr>
        <w:pStyle w:val="Normal"/>
        <w:tabs>
          <w:tab w:val="clear" w:pos="720"/>
          <w:tab w:val="left" w:pos="4428" w:leader="none"/>
          <w:tab w:val="left" w:pos="8856" w:leader="none"/>
        </w:tabs>
        <w:ind w:firstLine="720" w:end="0"/>
        <w:rPr>
          <w:sz w:val="26"/>
        </w:rPr>
      </w:pPr>
      <w:r>
        <w:rPr>
          <w:sz w:val="26"/>
        </w:rPr>
        <w:t>Mr. Paulo V. Ferraz Pereira</w:t>
      </w:r>
    </w:p>
    <w:p>
      <w:pPr>
        <w:pStyle w:val="Heading6"/>
        <w:rPr/>
      </w:pPr>
      <w:r>
        <w:rPr/>
        <w:t>Mr. Frank Savage</w:t>
      </w:r>
    </w:p>
    <w:p>
      <w:pPr>
        <w:pStyle w:val="Normal"/>
        <w:tabs>
          <w:tab w:val="clear" w:pos="720"/>
          <w:tab w:val="left" w:pos="4428" w:leader="none"/>
          <w:tab w:val="left" w:pos="8856" w:leader="none"/>
        </w:tabs>
        <w:ind w:firstLine="720" w:end="0"/>
        <w:rPr>
          <w:sz w:val="26"/>
        </w:rPr>
      </w:pPr>
      <w:r>
        <w:rPr>
          <w:sz w:val="26"/>
        </w:rPr>
        <w:t>Lord John Wakeham</w:t>
      </w:r>
    </w:p>
    <w:p>
      <w:pPr>
        <w:pStyle w:val="Normal"/>
        <w:jc w:val="both"/>
        <w:rPr>
          <w:sz w:val="26"/>
        </w:rPr>
      </w:pPr>
      <w:r>
        <w:rPr>
          <w:sz w:val="26"/>
        </w:rPr>
        <w:tab/>
        <w:tab/>
      </w:r>
    </w:p>
    <w:p>
      <w:pPr>
        <w:pStyle w:val="Normal"/>
        <w:ind w:firstLine="720" w:end="0"/>
        <w:jc w:val="both"/>
        <w:rPr/>
      </w:pPr>
      <w:r>
        <w:rPr>
          <w:sz w:val="26"/>
        </w:rPr>
        <w:t xml:space="preserve">Directors John H. Duncan, Kenneth L. Lay, Charles A. LeMaistre, and Jeffrey K. Skilling, Messrs. </w:t>
      </w:r>
      <w:r>
        <w:rPr>
          <w:bCs/>
          <w:sz w:val="26"/>
        </w:rPr>
        <w:t>William S. Bradford</w:t>
      </w:r>
      <w:r>
        <w:rPr>
          <w:sz w:val="26"/>
        </w:rPr>
        <w:t xml:space="preserve">, Richard B. Buy, Richard A. Causey, James V. Derrick, Jr., Timothy A. DeSpain, Andrew S. Fastow, Ben F. Glisan, Jr., David B. Gorte, Mark E. Koenig, Theodore R. Murphy, </w:t>
      </w:r>
      <w:r>
        <w:rPr>
          <w:bCs/>
          <w:sz w:val="26"/>
        </w:rPr>
        <w:t>David R. Port,</w:t>
      </w:r>
      <w:r>
        <w:rPr>
          <w:sz w:val="26"/>
        </w:rPr>
        <w:t xml:space="preserve"> Robert H. Walls, Jr., and L. Greg Whalley, and Ms. Rebecca C. Carter, all of the Company or affiliates thereof, and Mr. Richard N. Foster, of McKinsey &amp; Company, Inc, also attended the meeting.</w:t>
      </w:r>
    </w:p>
    <w:p>
      <w:pPr>
        <w:pStyle w:val="Normal"/>
        <w:jc w:val="both"/>
        <w:rPr>
          <w:sz w:val="26"/>
        </w:rPr>
      </w:pPr>
      <w:r>
        <w:rPr>
          <w:sz w:val="26"/>
        </w:rPr>
      </w:r>
    </w:p>
    <w:p>
      <w:pPr>
        <w:pStyle w:val="Normal"/>
        <w:jc w:val="both"/>
        <w:rPr>
          <w:sz w:val="26"/>
        </w:rPr>
      </w:pPr>
      <w:r>
        <w:rPr>
          <w:sz w:val="26"/>
        </w:rPr>
        <w:tab/>
        <w:t>Mr. Winokur served as Chairman and presided at the meeting and the Secretary, Ms. Carter, recorded the proceedings.</w:t>
      </w:r>
    </w:p>
    <w:p>
      <w:pPr>
        <w:pStyle w:val="Normal"/>
        <w:jc w:val="both"/>
        <w:rPr>
          <w:sz w:val="26"/>
        </w:rPr>
      </w:pPr>
      <w:r>
        <w:rPr>
          <w:sz w:val="26"/>
        </w:rPr>
        <w:t xml:space="preserve"> </w:t>
      </w:r>
    </w:p>
    <w:p>
      <w:pPr>
        <w:pStyle w:val="BodyText"/>
        <w:rPr/>
      </w:pPr>
      <w:r>
        <w:rPr/>
        <w:tab/>
        <w:t>Mr. Winokur called the meeting to order and called upon Mr. Buy to begin the presentation.  Mr. Buy stated that companies established trading and investment policies to both preserve capital and maximize shareholder value or returns on capital invested.  He then noted that the Company had four primary trading and non-trading risks, including funding/liquidity, market, credit, and operational.  He stated that management was proposing the creation of an infrastructure to characterize/quantify the risks, apply objective risk/return measurements, and qualitatively assess the risk/return ratio present in individual transactions and in portfolios of transactions.</w:t>
      </w:r>
    </w:p>
    <w:p>
      <w:pPr>
        <w:pStyle w:val="Normal"/>
        <w:jc w:val="both"/>
        <w:rPr>
          <w:sz w:val="26"/>
        </w:rPr>
      </w:pPr>
      <w:r>
        <w:rPr>
          <w:sz w:val="26"/>
        </w:rPr>
      </w:r>
    </w:p>
    <w:p>
      <w:pPr>
        <w:pStyle w:val="Normal"/>
        <w:jc w:val="both"/>
        <w:rPr>
          <w:sz w:val="26"/>
        </w:rPr>
      </w:pPr>
      <w:r>
        <w:rPr>
          <w:sz w:val="26"/>
        </w:rPr>
        <w:tab/>
        <w:t>Mr. Buy then stated that there were five considerations that the Company utilized in setting market risk limits, including: 1) Value at Risk (“VAR”), 2) Expected Tail Loss (“ETL”) utilizing Extreme Value Theory (“EVT”), 3) Stress scenarios, 4) Liquidity, and 5) Risk/return analyses.  He then reviewed the definition of VAR and commented on the inputs that were utilized to calculate VAR.  He gave a specific example of the VAR that would be present given a certain set of inputs/circumstances.  He then commented on the effects of hedging and diversification on overall VAR and gave examples of each.  Mr. Whalley joined him in answering questions from the Committee on how the Company determined the volatility and other inputs that were used in the calculation of VAR.</w:t>
      </w:r>
    </w:p>
    <w:p>
      <w:pPr>
        <w:pStyle w:val="Normal"/>
        <w:jc w:val="both"/>
        <w:rPr>
          <w:sz w:val="26"/>
        </w:rPr>
      </w:pPr>
      <w:r>
        <w:rPr>
          <w:sz w:val="26"/>
        </w:rPr>
      </w:r>
    </w:p>
    <w:p>
      <w:pPr>
        <w:pStyle w:val="Normal"/>
        <w:jc w:val="both"/>
        <w:rPr>
          <w:sz w:val="26"/>
        </w:rPr>
      </w:pPr>
      <w:r>
        <w:rPr>
          <w:sz w:val="26"/>
        </w:rPr>
        <w:tab/>
        <w:t>Mr. Skilling discussed the Company’s increasing emphasis on the Wholesale Services group and commented on its contribution to earning over the last five years.  He then compared the Company’s VAR and five of its competitors’ VAR from trading, as disclosed in the companies annual reports, and from generation assets, as calculated by the Company.  He also compared the six companies VAR as a percentage of its earnings and market value.</w:t>
      </w:r>
    </w:p>
    <w:p>
      <w:pPr>
        <w:pStyle w:val="Normal"/>
        <w:jc w:val="both"/>
        <w:rPr>
          <w:sz w:val="26"/>
        </w:rPr>
      </w:pPr>
      <w:r>
        <w:rPr>
          <w:sz w:val="26"/>
        </w:rPr>
      </w:r>
    </w:p>
    <w:p>
      <w:pPr>
        <w:pStyle w:val="Normal"/>
        <w:jc w:val="both"/>
        <w:rPr>
          <w:sz w:val="26"/>
        </w:rPr>
      </w:pPr>
      <w:r>
        <w:rPr>
          <w:sz w:val="26"/>
        </w:rPr>
        <w:tab/>
        <w:t>Mr. Buy then discussed the correlation between the Company’s major commodity groups and noted that the majority of them showed very low correlation.  He commented on the limitations of VAR, including the assumption of a normal distribution of price behavior, the lack of information about expected losses in the “tails”, and the less meaningful data that VAR provided for confidence intervals higher than 95%.  He stated that it was important for the Company to focus on behavior in “fat tail” distributions.  He then moved to a discussion of EVT and he stated that EVT was a theory that enabled more accurate estimation and analysis of tail events.  He commented on how EVT was calculated at the Company and presented an example of the EVT on one of the Company’s portfolios.  He then stated that EVT represented the potential loss in a portfolio with a 99.7% or higher expected confidence level and was an estimate of the mean loss for events where VAR was exceeded.  Mr. Skilling then commented on VAR and expected tail losses and presented a chart depicting the relationship between the two.  He noted that for a given increase in VAR the susceptibility for tail losses increased at a greater rate.</w:t>
      </w:r>
    </w:p>
    <w:p>
      <w:pPr>
        <w:pStyle w:val="Normal"/>
        <w:jc w:val="both"/>
        <w:rPr>
          <w:sz w:val="26"/>
        </w:rPr>
      </w:pPr>
      <w:r>
        <w:rPr>
          <w:sz w:val="26"/>
        </w:rPr>
      </w:r>
    </w:p>
    <w:p>
      <w:pPr>
        <w:pStyle w:val="Normal"/>
        <w:jc w:val="both"/>
        <w:rPr>
          <w:sz w:val="26"/>
        </w:rPr>
      </w:pPr>
      <w:r>
        <w:rPr>
          <w:sz w:val="26"/>
        </w:rPr>
        <w:tab/>
        <w:t>Mr. Buy then moved to a discussion of stress testing scenarios.  He noted that stress testing added a qualitative assessment to the Company’s objective risk metrics, which included VAR and ETL.  He stated that stress scenarios were the study of actual, plausible, or sometimes highly improbable events and noted that the Company had considered four such scenarios.  He stated that the Company then used market knowledge and insight from the Company’s businesses to portray these events as a series of changes in price, volatility, and correlations and applied these changes to the Company’s current positions. He noted that the actual outcomes from the stress testing would be discussed later in the presentation.</w:t>
      </w:r>
    </w:p>
    <w:p>
      <w:pPr>
        <w:pStyle w:val="Normal"/>
        <w:jc w:val="both"/>
        <w:rPr>
          <w:sz w:val="26"/>
        </w:rPr>
      </w:pPr>
      <w:r>
        <w:rPr>
          <w:sz w:val="26"/>
        </w:rPr>
      </w:r>
    </w:p>
    <w:p>
      <w:pPr>
        <w:pStyle w:val="Normal"/>
        <w:jc w:val="both"/>
        <w:rPr>
          <w:sz w:val="26"/>
        </w:rPr>
      </w:pPr>
      <w:r>
        <w:rPr>
          <w:sz w:val="26"/>
        </w:rPr>
        <w:tab/>
        <w:t>Mr. Buy then began a discussion of liquidity risk and stated that it manifested itself in two forms: funding liquidity risk (“FLR”) and position liquidity risk (“PLR”).  He stated that FLR was defined as the extent to which funding sources would be available when required to fund business activities and potential losses.  He noted that PLR related to how quickly the Company could reduce its risk and at what cost.  He noted that PLR was related to the Company’s risk management activities and related to the uncertainty regarding future cash requirements such as margin and collateral.</w:t>
      </w:r>
    </w:p>
    <w:p>
      <w:pPr>
        <w:pStyle w:val="Normal"/>
        <w:jc w:val="both"/>
        <w:rPr>
          <w:sz w:val="26"/>
        </w:rPr>
      </w:pPr>
      <w:r>
        <w:rPr>
          <w:sz w:val="26"/>
        </w:rPr>
      </w:r>
    </w:p>
    <w:p>
      <w:pPr>
        <w:pStyle w:val="Normal"/>
        <w:jc w:val="both"/>
        <w:rPr>
          <w:sz w:val="26"/>
        </w:rPr>
      </w:pPr>
      <w:r>
        <w:rPr>
          <w:sz w:val="26"/>
        </w:rPr>
        <w:tab/>
        <w:t>Mr. Buy then commented on the standard relationship between risk and return and stated that the Company needed to continually assess its proximity to the optimal return on risk.  He stated that management and the Board of Directors should determine the Company’s appetite for risk and the returns required to meet the Company’s planned earnings.  He noted that the Company could determine the extent to which earnings targets would be met given a certain appetite for risk or conversely, the required risk appetite given a required return.  He stated that actual observed returns on risk and utilization of risk limits would be utilized in the analysis.</w:t>
      </w:r>
    </w:p>
    <w:p>
      <w:pPr>
        <w:pStyle w:val="Normal"/>
        <w:jc w:val="both"/>
        <w:rPr>
          <w:sz w:val="26"/>
        </w:rPr>
      </w:pPr>
      <w:r>
        <w:rPr>
          <w:sz w:val="26"/>
        </w:rPr>
      </w:r>
    </w:p>
    <w:p>
      <w:pPr>
        <w:pStyle w:val="Normal"/>
        <w:jc w:val="both"/>
        <w:rPr>
          <w:sz w:val="26"/>
        </w:rPr>
      </w:pPr>
      <w:r>
        <w:rPr>
          <w:sz w:val="26"/>
        </w:rPr>
        <w:tab/>
        <w:t>Mr. Buy then reviewed the potential impact from various stress testing scenarios performed by the Company.  He noted that all of the scenarios were dependent on the Company’s actual position on the date that the testing was performed.  Messrs. Skilling and Whalley then joined him for a discussion of the Company’s liquidity risk.  Mr. Whalley reviewed the Company’s current commodity positions and the associated VAR.  He discussed the best hedge the Company could employ to offset the current positions in both normal and abnormal market conditions and the number of days required to get the hedges in place, the associated costs, and the corresponding decrease in VAR.  Mr. Skilling reviewed the margin requirements given a liquidation horizon as suggested under “worst case” or abnormal markets conditions when the markets were moving against the Company’s positions.  Mr. Glisan then joined for a discussion of the Company’s current liquidity position.  He noted that certain companies that had previously run into liquidity problems oftentimes had uncommitted sources of cash and he stated that the Company’s short-term sources of cash management’s were committed.</w:t>
      </w:r>
    </w:p>
    <w:p>
      <w:pPr>
        <w:pStyle w:val="Normal"/>
        <w:jc w:val="both"/>
        <w:rPr>
          <w:sz w:val="26"/>
        </w:rPr>
      </w:pPr>
      <w:r>
        <w:rPr>
          <w:sz w:val="26"/>
        </w:rPr>
      </w:r>
    </w:p>
    <w:p>
      <w:pPr>
        <w:pStyle w:val="Normal"/>
        <w:jc w:val="both"/>
        <w:rPr>
          <w:sz w:val="26"/>
        </w:rPr>
      </w:pPr>
      <w:r>
        <w:rPr>
          <w:sz w:val="26"/>
        </w:rPr>
        <w:tab/>
        <w:t>Mr. Buy then reviewed the Company’s VAR limits, average and highest VAR, return on VAR (“RoVAR”), and profit and loss over the past four and one-half years.  He presented a chart depicting the expected return assuming different RoVARs and different VAR limits.  He discussed the amount of earnings budgeted for in the Company’s plan and the required VAR limit assuming different RoVARs.  Messrs. Skilling and Whalley joined him for a discussion of the past and current RoVARs and management’s expectations for the future.</w:t>
      </w:r>
    </w:p>
    <w:p>
      <w:pPr>
        <w:pStyle w:val="Normal"/>
        <w:jc w:val="both"/>
        <w:rPr>
          <w:sz w:val="26"/>
        </w:rPr>
      </w:pPr>
      <w:r>
        <w:rPr>
          <w:sz w:val="26"/>
        </w:rPr>
      </w:r>
    </w:p>
    <w:p>
      <w:pPr>
        <w:pStyle w:val="Normal"/>
        <w:jc w:val="both"/>
        <w:rPr>
          <w:sz w:val="26"/>
        </w:rPr>
      </w:pPr>
      <w:r>
        <w:rPr>
          <w:sz w:val="26"/>
        </w:rPr>
        <w:tab/>
        <w:t>Mr. Winokur then postponed the decision regarding the proposed changes to the Company’s Risk Management Policy (‘Policy”) until the Board meeting to allow for more discussion of the matter.  He stated that the Company’s goal was to simplify the Policy by combining some of the current portfolios into areas of concentration.  He noted that management was presenting three proposed overall VAR and ETL limits for consideration.  He stated that he believed that, due to balance sheet constraints caused by fewer asset sales than anticipated and the current volatility in the marketplace, management’s mid-range proposal would be the most appropriate at the current time.  Mr. Whalley joined him for a discussion of the proposed limits and recommended that if the mid-range proposal was adopted then the discretionary VAR be increased to allow management more latitude in managing the portfolio.  Mr. Buy then reviewed other proposed changes to the Policy, including changes in the areas of limit violations and loss notifications.  He then presented a summary of the proposed market risk limit changes under the three alternatives.</w:t>
      </w:r>
    </w:p>
    <w:p>
      <w:pPr>
        <w:pStyle w:val="Normal"/>
        <w:jc w:val="both"/>
        <w:rPr>
          <w:sz w:val="26"/>
        </w:rPr>
      </w:pPr>
      <w:r>
        <w:rPr>
          <w:sz w:val="26"/>
        </w:rPr>
        <w:tab/>
      </w:r>
    </w:p>
    <w:p>
      <w:pPr>
        <w:pStyle w:val="BodyText"/>
        <w:rPr/>
      </w:pPr>
      <w:r>
        <w:rPr/>
        <w:tab/>
        <w:t>There being no further business to come before the Committee, the meeting was adjourned at 5:45 p.m., C.D.T.</w:t>
      </w:r>
    </w:p>
    <w:p>
      <w:pPr>
        <w:pStyle w:val="Normal"/>
        <w:ind w:firstLine="720" w:end="0"/>
        <w:jc w:val="both"/>
        <w:rPr>
          <w:sz w:val="26"/>
        </w:rPr>
      </w:pPr>
      <w:r>
        <w:rPr>
          <w:sz w:val="26"/>
        </w:rPr>
      </w:r>
    </w:p>
    <w:p>
      <w:pPr>
        <w:pStyle w:val="Normal"/>
        <w:jc w:val="both"/>
        <w:rPr>
          <w:sz w:val="26"/>
        </w:rPr>
      </w:pPr>
      <w:r>
        <w:rPr>
          <w:sz w:val="26"/>
        </w:rPr>
        <w:tab/>
        <w:tab/>
        <w:tab/>
        <w:tab/>
        <w:tab/>
        <w:tab/>
        <w:tab/>
        <w:tab/>
        <w:tab/>
        <w:tab/>
        <w:tab/>
        <w:tab/>
        <w:tab/>
        <w:tab/>
        <w:tab/>
        <w:tab/>
        <w:tab/>
        <w:tab/>
        <w:tab/>
        <w:t>___________________________</w:t>
      </w:r>
    </w:p>
    <w:p>
      <w:pPr>
        <w:pStyle w:val="Normal"/>
        <w:jc w:val="both"/>
        <w:rPr>
          <w:sz w:val="26"/>
        </w:rPr>
      </w:pPr>
      <w:r>
        <w:rPr>
          <w:sz w:val="26"/>
        </w:rPr>
        <w:tab/>
        <w:tab/>
        <w:tab/>
        <w:tab/>
        <w:tab/>
        <w:tab/>
        <w:tab/>
        <w:t>Secretary</w:t>
      </w:r>
    </w:p>
    <w:p>
      <w:pPr>
        <w:pStyle w:val="Normal"/>
        <w:jc w:val="both"/>
        <w:rPr>
          <w:sz w:val="26"/>
        </w:rPr>
      </w:pPr>
      <w:r>
        <w:rPr>
          <w:sz w:val="26"/>
        </w:rPr>
      </w:r>
    </w:p>
    <w:p>
      <w:pPr>
        <w:pStyle w:val="Normal"/>
        <w:jc w:val="both"/>
        <w:rPr>
          <w:sz w:val="26"/>
        </w:rPr>
      </w:pPr>
      <w:r>
        <w:rPr>
          <w:sz w:val="26"/>
        </w:rPr>
        <w:t>APPROVED:</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__________________________________</w:t>
      </w:r>
    </w:p>
    <w:p>
      <w:pPr>
        <w:pStyle w:val="Heading3"/>
        <w:ind w:hanging="0" w:start="0"/>
        <w:rPr/>
      </w:pPr>
      <w:r>
        <w:rPr/>
        <w:t>Chairman</w:t>
      </w:r>
    </w:p>
    <w:p>
      <w:pPr>
        <w:pStyle w:val="Normal"/>
        <w:rPr/>
      </w:pPr>
      <w:r>
        <w:rPr/>
      </w:r>
    </w:p>
    <w:p>
      <w:pPr>
        <w:pStyle w:val="Normal"/>
        <w:rPr/>
      </w:pPr>
      <w:r>
        <w:rPr/>
      </w:r>
    </w:p>
    <w:p>
      <w:pPr>
        <w:pStyle w:val="Norma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/mnt/main-storage/datasets/enron-docs/doc/081301A_F.doc</w:t>
      </w:r>
      <w:r>
        <w:rPr>
          <w:sz w:val="16"/>
        </w:rPr>
        <w:fldChar w:fldCharType="end"/>
      </w:r>
    </w:p>
    <w:sectPr>
      <w:footerReference w:type="default" r:id="rId2"/>
      <w:footerReference w:type="first" r:id="rId3"/>
      <w:type w:val="nextPage"/>
      <w:pgSz w:w="12240" w:h="15840"/>
      <w:pgMar w:left="1800" w:right="1800" w:gutter="0" w:header="0" w:top="12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sz w:val="26"/>
    </w:rPr>
  </w:style>
  <w:style w:type="paragraph" w:styleId="Heading2">
    <w:name w:val="heading 2"/>
    <w:basedOn w:val="Normal"/>
    <w:next w:val="Normal"/>
    <w:qFormat/>
    <w:pPr>
      <w:keepNext w:val="true"/>
      <w:numPr>
        <w:ilvl w:val="1"/>
        <w:numId w:val="1"/>
      </w:numPr>
      <w:ind w:firstLine="720" w:start="720" w:end="0"/>
      <w:jc w:val="both"/>
      <w:outlineLvl w:val="1"/>
    </w:pPr>
    <w:rPr>
      <w:sz w:val="26"/>
    </w:rPr>
  </w:style>
  <w:style w:type="paragraph" w:styleId="Heading3">
    <w:name w:val="heading 3"/>
    <w:basedOn w:val="Normal"/>
    <w:next w:val="Normal"/>
    <w:qFormat/>
    <w:pPr>
      <w:keepNext w:val="true"/>
      <w:numPr>
        <w:ilvl w:val="2"/>
        <w:numId w:val="1"/>
      </w:numPr>
      <w:jc w:val="both"/>
      <w:outlineLvl w:val="2"/>
    </w:pPr>
    <w:rPr>
      <w:sz w:val="26"/>
    </w:rPr>
  </w:style>
  <w:style w:type="paragraph" w:styleId="Heading4">
    <w:name w:val="heading 4"/>
    <w:basedOn w:val="Normal"/>
    <w:next w:val="Normal"/>
    <w:qFormat/>
    <w:pPr>
      <w:keepNext w:val="true"/>
      <w:numPr>
        <w:ilvl w:val="3"/>
        <w:numId w:val="1"/>
      </w:numPr>
      <w:jc w:val="end"/>
      <w:outlineLvl w:val="3"/>
    </w:pPr>
    <w:rPr>
      <w:i/>
      <w:sz w:val="26"/>
    </w:rPr>
  </w:style>
  <w:style w:type="paragraph" w:styleId="Heading5">
    <w:name w:val="heading 5"/>
    <w:basedOn w:val="Normal"/>
    <w:next w:val="Normal"/>
    <w:qFormat/>
    <w:pPr>
      <w:keepNext w:val="true"/>
      <w:numPr>
        <w:ilvl w:val="4"/>
        <w:numId w:val="1"/>
      </w:numPr>
      <w:jc w:val="end"/>
      <w:outlineLvl w:val="4"/>
    </w:pPr>
    <w:rPr>
      <w:b/>
      <w:i/>
      <w:sz w:val="26"/>
    </w:rPr>
  </w:style>
  <w:style w:type="paragraph" w:styleId="Heading6">
    <w:name w:val="heading 6"/>
    <w:basedOn w:val="Normal"/>
    <w:next w:val="Normal"/>
    <w:qFormat/>
    <w:pPr>
      <w:keepNext w:val="true"/>
      <w:numPr>
        <w:ilvl w:val="5"/>
        <w:numId w:val="1"/>
      </w:numPr>
      <w:tabs>
        <w:tab w:val="clear" w:pos="720"/>
        <w:tab w:val="left" w:pos="4428" w:leader="none"/>
        <w:tab w:val="left" w:pos="8856" w:leader="none"/>
      </w:tabs>
      <w:ind w:firstLine="720" w:start="0" w:end="0"/>
      <w:outlineLvl w:val="5"/>
    </w:pPr>
    <w:rPr>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2000-01-17T12:16:00Z</dcterms:created>
  <dc:creator>Enron Corp</dc:creator>
  <dc:description/>
  <dc:language>en-CA</dc:language>
  <cp:lastModifiedBy>kjohnso</cp:lastModifiedBy>
  <cp:lastPrinted>2000-01-24T11:45:00Z</cp:lastPrinted>
  <dcterms:modified xsi:type="dcterms:W3CDTF">2001-09-04T13:39:00Z</dcterms:modified>
  <cp:revision>45</cp:revision>
  <dc:subject/>
  <dc:title>MINUTES</dc:title>
</cp:coreProperties>
</file>