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8</w:t>
      </w:r>
      <w:r>
        <w:rPr>
          <w:sz w:val="24"/>
          <w:vertAlign w:val="superscript"/>
        </w:rPr>
        <w:t>th</w:t>
      </w:r>
      <w:r>
        <w:rPr>
          <w:sz w:val="24"/>
        </w:rPr>
        <w:t xml:space="preserve"> December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Heading1"/>
        <w:ind w:hanging="0" w:start="0"/>
        <w:jc w:val="both"/>
        <w:rPr>
          <w:rFonts w:ascii="Times New Roman" w:hAnsi="Times New Roman" w:cs="Times New Roman"/>
          <w:sz w:val="24"/>
        </w:rPr>
      </w:pPr>
      <w:r>
        <w:rPr>
          <w:rFonts w:cs="Times New Roman" w:ascii="Times New Roman" w:hAnsi="Times New Roman"/>
          <w:sz w:val="24"/>
        </w:rPr>
      </w:r>
    </w:p>
    <w:p>
      <w:pPr>
        <w:pStyle w:val="Heading4"/>
        <w:ind w:hanging="0" w:start="0"/>
        <w:rPr/>
      </w:pPr>
      <w:r>
        <w:rPr/>
        <w:t>EU</w:t>
      </w:r>
    </w:p>
    <w:p>
      <w:pPr>
        <w:pStyle w:val="Normal"/>
        <w:numPr>
          <w:ilvl w:val="0"/>
          <w:numId w:val="4"/>
        </w:numPr>
        <w:jc w:val="both"/>
        <w:rPr>
          <w:sz w:val="24"/>
        </w:rPr>
      </w:pPr>
      <w:r>
        <w:rPr>
          <w:sz w:val="24"/>
        </w:rPr>
        <w:t>On December 5 the meeting of the Energy Council took place. Most notable outcome – the adoption by the Ministers of the Commission’s proposal on renewable sources of energy (yet to be approved by the European Parliament in its second reading), presentation of the Green paper on Security of Supply and presentation on the modernisation of competition rules implementing Articles 81 and 82 of the EC Treaty.</w:t>
      </w:r>
    </w:p>
    <w:p>
      <w:pPr>
        <w:pStyle w:val="Normal"/>
        <w:jc w:val="both"/>
        <w:rPr>
          <w:sz w:val="24"/>
        </w:rPr>
      </w:pPr>
      <w:r>
        <w:rPr>
          <w:sz w:val="24"/>
        </w:rPr>
      </w:r>
    </w:p>
    <w:p>
      <w:pPr>
        <w:pStyle w:val="Normal"/>
        <w:numPr>
          <w:ilvl w:val="0"/>
          <w:numId w:val="4"/>
        </w:numPr>
        <w:jc w:val="both"/>
        <w:rPr>
          <w:sz w:val="24"/>
        </w:rPr>
      </w:pPr>
      <w:r>
        <w:rPr>
          <w:sz w:val="24"/>
        </w:rPr>
        <w:t>It also became clear at the Energy Council that some EU-level common principles on electricity cross-border tariffication and congestion management (hitherto part of the Florence agenda) are likely to be included in the legislative proposal (acceleration Directive) we expect from the Commission in January.</w:t>
      </w:r>
    </w:p>
    <w:p>
      <w:pPr>
        <w:pStyle w:val="Normal"/>
        <w:jc w:val="both"/>
        <w:rPr>
          <w:sz w:val="24"/>
        </w:rPr>
      </w:pPr>
      <w:r>
        <w:rPr>
          <w:sz w:val="24"/>
        </w:rPr>
      </w:r>
    </w:p>
    <w:p>
      <w:pPr>
        <w:pStyle w:val="Normal"/>
        <w:numPr>
          <w:ilvl w:val="0"/>
          <w:numId w:val="4"/>
        </w:numPr>
        <w:jc w:val="both"/>
        <w:rPr>
          <w:sz w:val="24"/>
        </w:rPr>
      </w:pPr>
      <w:r>
        <w:rPr>
          <w:sz w:val="24"/>
        </w:rPr>
        <w:t>Met on December 7 with Mr. Schaub (Director General for Competition).  He is: a) aware of the need to concentrate on access to interconnectors; and market power concerns in countries where theoretical market opening is at odds with the incumbents’ market share; b) likely to increase its resources available for investigation of the resulting caseload.</w:t>
      </w:r>
    </w:p>
    <w:p>
      <w:pPr>
        <w:pStyle w:val="Heading3"/>
        <w:autoSpaceDE w:val="false"/>
        <w:ind w:hanging="0" w:start="0"/>
        <w:rPr>
          <w:bCs/>
          <w:sz w:val="24"/>
          <w:lang w:val="en-US"/>
        </w:rPr>
      </w:pPr>
      <w:r>
        <w:rPr>
          <w:bCs/>
          <w:sz w:val="24"/>
          <w:lang w:val="en-US"/>
        </w:rPr>
      </w:r>
    </w:p>
    <w:p>
      <w:pPr>
        <w:pStyle w:val="Heading3"/>
        <w:autoSpaceDE w:val="false"/>
        <w:ind w:hanging="0" w:start="0"/>
        <w:rPr>
          <w:bCs/>
          <w:lang w:val="en-US"/>
        </w:rPr>
      </w:pPr>
      <w:r>
        <w:rPr>
          <w:bCs/>
          <w:lang w:val="en-US"/>
        </w:rPr>
        <w:t>Germany</w:t>
      </w:r>
    </w:p>
    <w:p>
      <w:pPr>
        <w:pStyle w:val="Normal"/>
        <w:autoSpaceDE w:val="false"/>
        <w:spacing w:lineRule="atLeast" w:line="240"/>
        <w:rPr>
          <w:rFonts w:ascii="Tms Rmn;Times New Roman" w:hAnsi="Tms Rmn;Times New Roman" w:cs="Tms Rmn;Times New Roman"/>
          <w:bCs/>
          <w:szCs w:val="24"/>
          <w:lang w:val="en-US"/>
        </w:rPr>
      </w:pPr>
      <w:r>
        <w:rPr>
          <w:rFonts w:cs="Tms Rmn;Times New Roman" w:ascii="Tms Rmn;Times New Roman" w:hAnsi="Tms Rmn;Times New Roman"/>
          <w:bCs/>
          <w:szCs w:val="24"/>
          <w:lang w:val="en-US"/>
        </w:rPr>
      </w:r>
    </w:p>
    <w:p>
      <w:pPr>
        <w:pStyle w:val="Normal"/>
        <w:numPr>
          <w:ilvl w:val="0"/>
          <w:numId w:val="3"/>
        </w:numPr>
        <w:autoSpaceDE w:val="false"/>
        <w:spacing w:lineRule="atLeast" w:line="240"/>
        <w:jc w:val="both"/>
        <w:rPr>
          <w:color w:val="000000"/>
          <w:sz w:val="24"/>
          <w:lang w:val="en-US"/>
        </w:rPr>
      </w:pPr>
      <w:r>
        <w:rPr>
          <w:color w:val="000000"/>
          <w:sz w:val="24"/>
          <w:lang w:val="en-US"/>
        </w:rPr>
        <w:t>It was confirmed to us by both SVK (the Swedish TSO) and the Swedish regulator that the Baltic Cable is a network concession holder and is consequently obliged to give RTPA under the Swedish Electricity Act. This gives us strong grounds upon which to try and open up this 600 MW route between Sweden and Germany that is now owned by E.On. Hurdles are however Southern Sweden system constraints (reinforcement underway start of next year) and possible long term contracts over the cable.</w:t>
      </w:r>
    </w:p>
    <w:p>
      <w:pPr>
        <w:pStyle w:val="Normal"/>
        <w:autoSpaceDE w:val="false"/>
        <w:spacing w:lineRule="atLeast" w:line="240"/>
        <w:rPr>
          <w:color w:val="000000"/>
          <w:sz w:val="24"/>
          <w:lang w:val="en-US"/>
        </w:rPr>
      </w:pPr>
      <w:r>
        <w:rPr>
          <w:color w:val="000000"/>
          <w:sz w:val="24"/>
          <w:lang w:val="en-US"/>
        </w:rPr>
      </w:r>
    </w:p>
    <w:p>
      <w:pPr>
        <w:pStyle w:val="Heading3"/>
        <w:ind w:hanging="0" w:start="0"/>
        <w:jc w:val="both"/>
        <w:rPr>
          <w:bCs/>
        </w:rPr>
      </w:pPr>
      <w:r>
        <w:rPr>
          <w:bCs/>
        </w:rPr>
        <w:t>Spain</w:t>
      </w:r>
    </w:p>
    <w:p>
      <w:pPr>
        <w:pStyle w:val="Normal"/>
        <w:autoSpaceDE w:val="false"/>
        <w:spacing w:lineRule="atLeast" w:line="240"/>
        <w:rPr>
          <w:bCs/>
          <w:color w:val="000000"/>
          <w:sz w:val="24"/>
          <w:lang w:val="en-US"/>
        </w:rPr>
      </w:pPr>
      <w:r>
        <w:rPr>
          <w:bCs/>
          <w:color w:val="000000"/>
          <w:sz w:val="24"/>
          <w:lang w:val="en-US"/>
        </w:rPr>
      </w:r>
    </w:p>
    <w:p>
      <w:pPr>
        <w:pStyle w:val="Normal"/>
        <w:numPr>
          <w:ilvl w:val="0"/>
          <w:numId w:val="5"/>
        </w:numPr>
        <w:autoSpaceDE w:val="false"/>
        <w:spacing w:lineRule="atLeast" w:line="240"/>
        <w:jc w:val="both"/>
        <w:rPr>
          <w:color w:val="000000"/>
          <w:sz w:val="24"/>
          <w:lang w:val="en-US"/>
        </w:rPr>
      </w:pPr>
      <w:r>
        <w:rPr>
          <w:color w:val="000000"/>
          <w:sz w:val="24"/>
          <w:lang w:val="en-US"/>
        </w:rPr>
        <w:t xml:space="preserve">We participated together with other gas commercialisers associated to SEDIGAS (Spanish gas association) on the preparation of comments to the draft decree on access and economic regime of gas regulated activities. </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5"/>
        </w:numPr>
        <w:autoSpaceDE w:val="false"/>
        <w:spacing w:lineRule="atLeast" w:line="240"/>
        <w:jc w:val="both"/>
        <w:rPr>
          <w:color w:val="000000"/>
          <w:sz w:val="24"/>
          <w:lang w:val="en-US"/>
        </w:rPr>
      </w:pPr>
      <w:r>
        <w:rPr>
          <w:color w:val="000000"/>
          <w:sz w:val="24"/>
          <w:lang w:val="en-US"/>
        </w:rPr>
        <w:t>The decree introduces more rationality on access conditions, rights and obligations of operators and agents, and defines a stable tariff and TPA structure. However, the draft does not fully embrace the stated RPI-X type of methodology for ratemaking, because the govt. still retains much discretion  for intervention on tariffs and TPA charges. Commercialisers understand that the govt. now is not ready to move much forward on the ratemaking front, so comments on this side were carefully chosen to make at least some impact. On the access conditions, the govt. is more receptive, so comments tried to fill some reg. gap similar to those manifested in power.</w:t>
      </w:r>
    </w:p>
    <w:p>
      <w:pPr>
        <w:pStyle w:val="Normal"/>
        <w:autoSpaceDE w:val="false"/>
        <w:spacing w:lineRule="atLeast" w:line="240"/>
        <w:rPr>
          <w:rFonts w:ascii="Helv;Arial" w:hAnsi="Helv;Arial" w:cs="Helv;Arial"/>
          <w:color w:val="000000"/>
          <w:sz w:val="24"/>
          <w:lang w:val="en-US"/>
        </w:rPr>
      </w:pPr>
      <w:r>
        <w:rPr>
          <w:rFonts w:cs="Helv;Arial" w:ascii="Helv;Arial" w:hAnsi="Helv;Arial"/>
          <w:color w:val="000000"/>
          <w:sz w:val="24"/>
          <w:lang w:val="en-US"/>
        </w:rPr>
      </w:r>
    </w:p>
    <w:p>
      <w:pPr>
        <w:pStyle w:val="Normal"/>
        <w:autoSpaceDE w:val="false"/>
        <w:spacing w:lineRule="atLeast" w:line="240"/>
        <w:jc w:val="both"/>
        <w:rPr>
          <w:rFonts w:ascii="Helv;Arial" w:hAnsi="Helv;Arial" w:cs="Helv;Arial"/>
          <w:color w:val="000000"/>
          <w:sz w:val="24"/>
          <w:lang w:val="en-US"/>
        </w:rPr>
      </w:pPr>
      <w:r>
        <w:rPr>
          <w:rFonts w:cs="Helv;Arial" w:ascii="Helv;Arial" w:hAnsi="Helv;Arial"/>
          <w:color w:val="000000"/>
          <w:sz w:val="24"/>
          <w:lang w:val="en-US"/>
        </w:rPr>
      </w:r>
    </w:p>
    <w:p>
      <w:pPr>
        <w:pStyle w:val="Normal"/>
        <w:autoSpaceDE w:val="false"/>
        <w:spacing w:lineRule="atLeast" w:line="240"/>
        <w:jc w:val="both"/>
        <w:rPr>
          <w:color w:val="000000"/>
          <w:sz w:val="24"/>
          <w:lang w:val="en-US"/>
        </w:rPr>
      </w:pPr>
      <w:r>
        <w:rPr>
          <w:b/>
          <w:bCs/>
          <w:color w:val="000000"/>
          <w:sz w:val="24"/>
          <w:lang w:val="en-US"/>
        </w:rPr>
        <w:t>Italy</w:t>
      </w:r>
    </w:p>
    <w:p>
      <w:pPr>
        <w:pStyle w:val="Normal"/>
        <w:autoSpaceDE w:val="false"/>
        <w:spacing w:lineRule="atLeast" w:line="240"/>
        <w:rPr>
          <w:rFonts w:ascii="Helv;Arial" w:hAnsi="Helv;Arial" w:cs="Helv;Arial"/>
          <w:color w:val="000000"/>
          <w:sz w:val="24"/>
          <w:lang w:val="en-US"/>
        </w:rPr>
      </w:pPr>
      <w:r>
        <w:rPr>
          <w:rFonts w:cs="Helv;Arial" w:ascii="Helv;Arial" w:hAnsi="Helv;Arial"/>
          <w:color w:val="000000"/>
          <w:sz w:val="24"/>
          <w:lang w:val="en-US"/>
        </w:rPr>
      </w:r>
    </w:p>
    <w:p>
      <w:pPr>
        <w:pStyle w:val="Normal"/>
        <w:numPr>
          <w:ilvl w:val="0"/>
          <w:numId w:val="2"/>
        </w:numPr>
        <w:autoSpaceDE w:val="false"/>
        <w:spacing w:lineRule="atLeast" w:line="240"/>
        <w:jc w:val="both"/>
        <w:rPr>
          <w:color w:val="000000"/>
          <w:sz w:val="24"/>
          <w:lang w:val="en-US"/>
        </w:rPr>
      </w:pPr>
      <w:r>
        <w:rPr>
          <w:color w:val="000000"/>
          <w:sz w:val="24"/>
          <w:lang w:val="en-US"/>
        </w:rPr>
        <w:t>We participated in the Public Hearing on Gas Tx charges and conditions, organised by the Italian Regulator. Special emphasis was placed on favoring postage stamp tolls in order to promote new entry (rather than sheer cost reflectiveness); on relating Tx revenues more to volumes transported (rather than less) so as to incentivise transporters to optimise network capacities; on making available info on existing and reserved capacity on the system, before deciding on a capacity allocation methodology in case of congestion; and promotion and incentives for new entry points and LNGs.</w:t>
      </w:r>
    </w:p>
    <w:p>
      <w:pPr>
        <w:pStyle w:val="Normal"/>
        <w:autoSpaceDE w:val="false"/>
        <w:spacing w:lineRule="atLeast" w:line="240"/>
        <w:jc w:val="both"/>
        <w:rPr>
          <w:color w:val="000000"/>
          <w:sz w:val="24"/>
          <w:lang w:val="en-US"/>
        </w:rPr>
      </w:pPr>
      <w:r>
        <w:rPr>
          <w:color w:val="000000"/>
          <w:sz w:val="24"/>
          <w:lang w:val="en-US"/>
        </w:rPr>
      </w:r>
    </w:p>
    <w:p>
      <w:pPr>
        <w:pStyle w:val="Normal"/>
        <w:spacing w:lineRule="atLeast" w:line="240"/>
        <w:rPr>
          <w:rFonts w:ascii="Helv;Arial" w:hAnsi="Helv;Arial" w:cs="Helv;Arial"/>
          <w:color w:val="000000"/>
          <w:sz w:val="24"/>
          <w:lang w:val="en-AU"/>
        </w:rPr>
      </w:pPr>
      <w:r>
        <w:rPr>
          <w:rFonts w:cs="Helv;Arial" w:ascii="Helv;Arial" w:hAnsi="Helv;Arial"/>
          <w:color w:val="000000"/>
          <w:sz w:val="24"/>
          <w:lang w:val="en-AU"/>
        </w:rPr>
      </w:r>
    </w:p>
    <w:p>
      <w:pPr>
        <w:pStyle w:val="Normal"/>
        <w:spacing w:lineRule="atLeast" w:line="240"/>
        <w:jc w:val="both"/>
        <w:rPr>
          <w:rFonts w:ascii="Helv;Arial" w:hAnsi="Helv;Arial" w:cs="Helv;Arial"/>
          <w:b/>
          <w:color w:val="000000"/>
          <w:sz w:val="24"/>
          <w:lang w:val="en-AU"/>
        </w:rPr>
      </w:pPr>
      <w:r>
        <w:rPr>
          <w:rFonts w:cs="Helv;Arial" w:ascii="Helv;Arial" w:hAnsi="Helv;Arial"/>
          <w:b/>
          <w:color w:val="000000"/>
          <w:sz w:val="24"/>
          <w:lang w:val="en-AU"/>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Andreas Wagner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Linda Robertson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Gonzales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Eric Shaw</w:t>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autoSpaceDE w:val="false"/>
      <w:spacing w:lineRule="atLeast" w:line="240"/>
      <w:outlineLvl w:val="6"/>
    </w:pPr>
    <w:rPr>
      <w:b/>
      <w:bCs/>
      <w:color w:val="000000"/>
      <w:sz w:val="24"/>
      <w:u w:val="single"/>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Times New Roman" w:hAnsi="Times New Roman" w:eastAsia="Times New Roman" w:cs="Times New Roman"/>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Times New Roman" w:hAnsi="Times New Roman" w:cs="Times New Roman"/>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Times New Roman" w:hAnsi="Times New Roman" w:cs="Times New Roman"/>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2000-12-08T08:47:00Z</dcterms:created>
  <dc:creator>SEvans2</dc:creator>
  <dc:description/>
  <dc:language>en-CA</dc:language>
  <cp:lastModifiedBy>bashcrof</cp:lastModifiedBy>
  <cp:lastPrinted>2000-12-08T16:25:00Z</cp:lastPrinted>
  <dcterms:modified xsi:type="dcterms:W3CDTF">2000-12-08T15:25:00Z</dcterms:modified>
  <cp:revision>5</cp:revision>
  <dc:subject/>
  <dc:title>Weekly Report </dc:title>
</cp:coreProperties>
</file>