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lang w:val="en-CA"/>
        </w:rPr>
      </w:pPr>
      <w:r>
        <w:rPr>
          <w:rFonts w:cs="Arial" w:ascii="Arial" w:hAnsi="Arial"/>
          <w:sz w:val="28"/>
          <w:u w:val="none"/>
          <w:lang w:val="en-CA"/>
        </w:rPr>
        <w:object w:dxaOrig="1152" w:dyaOrig="10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21.6pt;width:57.6pt;height:64.8pt;mso-wrap-distance-left:9.05pt;mso-wrap-distance-right:9.05pt;mso-position-horizontal-relative:text;mso-position-vertical-relative:page" filled="f" o:ole="">
            <v:imagedata r:id="rId3" o:title=""/>
            <w10:wrap type="topAndBottom"/>
          </v:shape>
          <o:OLEObject Type="Embed" ProgID="" ShapeID="ole_rId2" DrawAspect="Content" ObjectID="_225925902" r:id="rId2"/>
        </w:object>
        <w:drawing>
          <wp:anchor behindDoc="0" distT="0" distB="0" distL="114935" distR="114935" simplePos="0" locked="0" layoutInCell="1" allowOverlap="1" relativeHeight="3">
            <wp:simplePos x="0" y="0"/>
            <wp:positionH relativeFrom="column">
              <wp:posOffset>6217920</wp:posOffset>
            </wp:positionH>
            <wp:positionV relativeFrom="paragraph">
              <wp:posOffset>-182880</wp:posOffset>
            </wp:positionV>
            <wp:extent cx="688975" cy="72961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9" t="-19" r="-19" b="-19"/>
                    <a:stretch>
                      <a:fillRect/>
                    </a:stretch>
                  </pic:blipFill>
                  <pic:spPr bwMode="auto">
                    <a:xfrm>
                      <a:off x="0" y="0"/>
                      <a:ext cx="688975" cy="72961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1412" w:type="dxa"/>
        <w:jc w:val="start"/>
        <w:tblInd w:w="0" w:type="dxa"/>
        <w:tblLayout w:type="fixed"/>
        <w:tblCellMar>
          <w:top w:w="0" w:type="dxa"/>
          <w:start w:w="108" w:type="dxa"/>
          <w:bottom w:w="0" w:type="dxa"/>
          <w:end w:w="108" w:type="dxa"/>
        </w:tblCellMar>
      </w:tblPr>
      <w:tblGrid>
        <w:gridCol w:w="1458"/>
        <w:gridCol w:w="4050"/>
        <w:gridCol w:w="540"/>
        <w:gridCol w:w="1620"/>
        <w:gridCol w:w="3744"/>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DASOVICH, JEFFREY O</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744"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KAUFMAN, PAUL J</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GOVERNMENT AFFAIRS - SAN FRANCISCO</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744"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 30,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DIR ST GOVT AFFRS</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AUG 01, 1997</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AUG 01, 1997</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Jeff has been credited with exemplifying the "Enron's core values."  He has taken on difficult tasks for EBS and shown innovation in sovling problems as EBS has considered the role it wants in California.</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Jeff practices "more is better" when it comes to communication.  He has excellent written and oral skills.  As in the past, Jeff has to work on his listening skills, particularly when it comes to other California team members.  Further, he should ensure that is enthusiasm for a particularly project or issue does not alienate others who may communicate in a more staid manner.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He has made a tremendous commitment to making the California team work.  His sensitivity to others in the office has been laudable.  Jeff's team skills will be challenged in the remainder of 2000 as he will be called to take a leadership role on a number of matters.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Leadership skills exceed most expectations.  However, Jeff needs to work on his listening skills when he is working with other team members.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Jeff has been one of the best when it comes to understanding how Enron works and where it finds value.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Jeff has a superior understanding of public policy and a high level of understanding when it comes to regulatory matters.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Jeff is a highly valued member of the Western States team.   When a matter needs attention, Jeff is the "go to" person.  He dedicates tremendous energy to tasks and he is without peers when it comes to working an issue.</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Jeff is conscientous, dedicated, and can dedicate a high level of energy to this work and the intersts of the .</w:t>
            </w:r>
            <w:r/>
            <w:r>
              <w:rPr>
                <w:sz w:val="18"/>
                <w:b/>
                <w:shd w:fill="FFFFFF" w:val="clear"/>
                <w:rFonts w:cs="Arial" w:ascii="Arial" w:hAnsi="Arial"/>
              </w:rPr>
              <w:fldChar w:fldCharType="end"/>
            </w:r>
            <w:r>
              <w:rPr>
                <w:rFonts w:cs="Arial" w:ascii="Arial" w:hAnsi="Arial"/>
                <w:b/>
                <w:sz w:val="18"/>
                <w:shd w:fill="FFFFFF" w:val="clear"/>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Energy, dedication, understanding of regulatory policy.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Listening, avoiding a tendency to overshadow others in the Government Affairs office.  Controlling the energy.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Jeff's leadership and team skills will be challenged  in the remainder of 2000 as he will be called upon to lead efforts that involve other team members with whom there has been confict in the past.   </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sectPr>
      <w:footerReference w:type="default" r:id="rId5"/>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2</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2000-06-19T16:31:00Z</dcterms:created>
  <dc:creator>Performance Management</dc:creator>
  <dc:description/>
  <dc:language>en-CA</dc:language>
  <cp:lastModifiedBy>ENA</cp:lastModifiedBy>
  <cp:lastPrinted>2000-06-11T14:20:00Z</cp:lastPrinted>
  <dcterms:modified xsi:type="dcterms:W3CDTF">2000-09-08T13:19:00Z</dcterms:modified>
  <cp:revision>3</cp:revision>
  <dc:subject/>
  <dc:title/>
</cp:coreProperties>
</file>