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sz w:val="36"/>
          <w:u w:val="single"/>
        </w:rPr>
      </w:pPr>
      <w:bookmarkStart w:id="0" w:name="_1026887356"/>
      <w:bookmarkStart w:id="1" w:name="_999325517"/>
      <w:bookmarkStart w:id="2" w:name="_998920577"/>
      <w:bookmarkStart w:id="3" w:name="_998900357"/>
      <w:bookmarkStart w:id="4" w:name="_998900346"/>
      <w:bookmarkStart w:id="5" w:name="_993994450"/>
      <w:bookmarkStart w:id="6" w:name="_Hlk462037736"/>
      <w:bookmarkEnd w:id="0"/>
      <w:bookmarkEnd w:id="1"/>
      <w:bookmarkEnd w:id="2"/>
      <w:bookmarkEnd w:id="3"/>
      <w:bookmarkEnd w:id="4"/>
      <w:bookmarkEnd w:id="5"/>
      <w:r>
        <w:rPr>
          <w:sz w:val="16"/>
        </w:rPr>
        <w:object w:dxaOrig="4361" w:dyaOrig="124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16.7pt;height:62.2pt" filled="f" o:ole="">
            <v:imagedata r:id="rId3" o:title=""/>
          </v:shape>
          <o:OLEObject Type="Embed" ProgID="" ShapeID="ole_rId2" DrawAspect="Content" ObjectID="_1200002538" r:id="rId2"/>
        </w:object>
      </w:r>
      <w:bookmarkEnd w:id="6"/>
    </w:p>
    <w:p>
      <w:pPr>
        <w:pStyle w:val="Heading3"/>
        <w:ind w:hanging="0" w:start="0"/>
        <w:rPr>
          <w:b w:val="false"/>
          <w:bCs w:val="false"/>
          <w:sz w:val="36"/>
          <w:u w:val="single"/>
        </w:rPr>
      </w:pPr>
      <w:r>
        <w:rPr>
          <w:b w:val="false"/>
          <w:bCs w:val="false"/>
          <w:sz w:val="36"/>
          <w:u w:val="single"/>
        </w:rPr>
      </w:r>
    </w:p>
    <w:p>
      <w:pPr>
        <w:pStyle w:val="Heading3"/>
        <w:ind w:hanging="0" w:start="0"/>
        <w:rPr/>
      </w:pPr>
      <w:r>
        <w:rPr/>
      </w:r>
    </w:p>
    <w:p>
      <w:pPr>
        <w:pStyle w:val="Heading3"/>
        <w:ind w:hanging="0" w:start="0"/>
        <w:rPr>
          <w:sz w:val="26"/>
        </w:rPr>
      </w:pPr>
      <w:r>
        <w:rPr>
          <w:sz w:val="26"/>
        </w:rPr>
        <w:t>CANFIBRE REPORTS MIXED RESULTS FROM RIVERSIDE OPERATIONS</w:t>
      </w:r>
    </w:p>
    <w:p>
      <w:pPr>
        <w:pStyle w:val="Normal"/>
        <w:rPr>
          <w:rFonts w:ascii="Arial" w:hAnsi="Arial" w:cs="Arial"/>
          <w:sz w:val="26"/>
        </w:rPr>
      </w:pPr>
      <w:r>
        <w:rPr>
          <w:rFonts w:cs="Arial" w:ascii="Arial" w:hAnsi="Arial"/>
          <w:sz w:val="26"/>
        </w:rPr>
      </w:r>
    </w:p>
    <w:p>
      <w:pPr>
        <w:pStyle w:val="Normal"/>
        <w:jc w:val="both"/>
        <w:rPr/>
      </w:pPr>
      <w:r>
        <w:rPr>
          <w:rFonts w:cs="Arial" w:ascii="Arial" w:hAnsi="Arial"/>
          <w:b/>
          <w:bCs/>
          <w:sz w:val="21"/>
        </w:rPr>
        <w:t>TORONTO – August 4, 2000 -</w:t>
      </w:r>
      <w:r>
        <w:rPr>
          <w:rFonts w:cs="Arial" w:ascii="Arial" w:hAnsi="Arial"/>
          <w:sz w:val="21"/>
        </w:rPr>
        <w:t xml:space="preserve"> The CanFibre Group Ltd. (</w:t>
      </w:r>
      <w:r>
        <w:rPr>
          <w:rFonts w:cs="Arial" w:ascii="Arial" w:hAnsi="Arial"/>
          <w:b/>
          <w:bCs/>
          <w:sz w:val="21"/>
        </w:rPr>
        <w:t>CDN: “CFGL”; Nasdaq BB: “CNFBF”)</w:t>
      </w:r>
      <w:r>
        <w:rPr>
          <w:rFonts w:cs="Arial" w:ascii="Arial" w:hAnsi="Arial"/>
          <w:sz w:val="21"/>
        </w:rPr>
        <w:t xml:space="preserve">, a subsidiary of Kafus Industries Ltd. </w:t>
      </w:r>
      <w:r>
        <w:rPr>
          <w:rFonts w:cs="Arial" w:ascii="Arial" w:hAnsi="Arial"/>
          <w:b/>
          <w:bCs/>
          <w:sz w:val="21"/>
        </w:rPr>
        <w:t>(AMEX: “KS”)</w:t>
      </w:r>
      <w:r>
        <w:rPr>
          <w:rFonts w:cs="Arial" w:ascii="Arial" w:hAnsi="Arial"/>
          <w:sz w:val="21"/>
        </w:rPr>
        <w:t>, reports that operations have not performed as well as expected for the past three months but that improvements are expected. Highlights include:</w:t>
      </w:r>
    </w:p>
    <w:p>
      <w:pPr>
        <w:pStyle w:val="Normal"/>
        <w:jc w:val="both"/>
        <w:rPr>
          <w:rFonts w:ascii="Arial" w:hAnsi="Arial" w:cs="Arial"/>
          <w:sz w:val="21"/>
        </w:rPr>
      </w:pPr>
      <w:r>
        <w:rPr>
          <w:rFonts w:cs="Arial" w:ascii="Arial" w:hAnsi="Arial"/>
          <w:sz w:val="21"/>
        </w:rPr>
      </w:r>
    </w:p>
    <w:p>
      <w:pPr>
        <w:pStyle w:val="Normal"/>
        <w:numPr>
          <w:ilvl w:val="0"/>
          <w:numId w:val="2"/>
        </w:numPr>
        <w:jc w:val="both"/>
        <w:rPr>
          <w:rFonts w:ascii="Arial" w:hAnsi="Arial" w:cs="Arial"/>
          <w:sz w:val="21"/>
        </w:rPr>
      </w:pPr>
      <w:r>
        <w:rPr>
          <w:rFonts w:cs="Arial" w:ascii="Arial" w:hAnsi="Arial"/>
          <w:sz w:val="21"/>
        </w:rPr>
        <w:t xml:space="preserve">Production has averaged approximately 55% of capacity. </w:t>
      </w:r>
    </w:p>
    <w:p>
      <w:pPr>
        <w:pStyle w:val="Normal"/>
        <w:numPr>
          <w:ilvl w:val="0"/>
          <w:numId w:val="2"/>
        </w:numPr>
        <w:jc w:val="both"/>
        <w:rPr>
          <w:rFonts w:ascii="Arial" w:hAnsi="Arial" w:cs="Arial"/>
          <w:sz w:val="21"/>
        </w:rPr>
      </w:pPr>
      <w:r>
        <w:rPr>
          <w:rFonts w:cs="Arial" w:ascii="Arial" w:hAnsi="Arial"/>
          <w:sz w:val="21"/>
        </w:rPr>
        <w:t xml:space="preserve">Sales have not kept pace with production resulting in finished goods inventories valued at approximately $2 million having accumulated.  </w:t>
      </w:r>
    </w:p>
    <w:p>
      <w:pPr>
        <w:pStyle w:val="Normal"/>
        <w:numPr>
          <w:ilvl w:val="0"/>
          <w:numId w:val="2"/>
        </w:numPr>
        <w:jc w:val="both"/>
        <w:rPr>
          <w:rFonts w:ascii="Arial" w:hAnsi="Arial" w:cs="Arial"/>
          <w:sz w:val="21"/>
        </w:rPr>
      </w:pPr>
      <w:r>
        <w:rPr>
          <w:rFonts w:cs="Arial" w:ascii="Arial" w:hAnsi="Arial"/>
          <w:sz w:val="21"/>
        </w:rPr>
        <w:t xml:space="preserve">Until very recently, quality of the product has been inconsistent with both excellent quality and poor quality having being produced on a somewhat random basis. </w:t>
      </w:r>
    </w:p>
    <w:p>
      <w:pPr>
        <w:pStyle w:val="Normal"/>
        <w:numPr>
          <w:ilvl w:val="0"/>
          <w:numId w:val="2"/>
        </w:numPr>
        <w:jc w:val="both"/>
        <w:rPr>
          <w:rFonts w:ascii="Arial" w:hAnsi="Arial" w:cs="Arial"/>
          <w:sz w:val="21"/>
        </w:rPr>
      </w:pPr>
      <w:r>
        <w:rPr>
          <w:rFonts w:cs="Arial" w:ascii="Arial" w:hAnsi="Arial"/>
          <w:sz w:val="21"/>
        </w:rPr>
        <w:t xml:space="preserve">The plant has not achieved break-even at an operational level.  </w:t>
      </w:r>
    </w:p>
    <w:p>
      <w:pPr>
        <w:pStyle w:val="Normal"/>
        <w:numPr>
          <w:ilvl w:val="0"/>
          <w:numId w:val="2"/>
        </w:numPr>
        <w:jc w:val="both"/>
        <w:rPr>
          <w:rFonts w:ascii="Arial" w:hAnsi="Arial" w:cs="Arial"/>
          <w:sz w:val="21"/>
        </w:rPr>
      </w:pPr>
      <w:r>
        <w:rPr>
          <w:rFonts w:cs="Arial" w:ascii="Arial" w:hAnsi="Arial"/>
          <w:sz w:val="21"/>
        </w:rPr>
        <w:t xml:space="preserve">Production costs to date have been considerably higher than originally forecast due to a combination of fixed costs being spread over smaller production volumes and resin and power usage per unit being higher. </w:t>
      </w:r>
    </w:p>
    <w:p>
      <w:pPr>
        <w:pStyle w:val="Normal"/>
        <w:numPr>
          <w:ilvl w:val="0"/>
          <w:numId w:val="2"/>
        </w:numPr>
        <w:jc w:val="both"/>
        <w:rPr>
          <w:rFonts w:ascii="Arial" w:hAnsi="Arial" w:cs="Arial"/>
          <w:sz w:val="21"/>
        </w:rPr>
      </w:pPr>
      <w:r>
        <w:rPr>
          <w:rFonts w:cs="Arial" w:ascii="Arial" w:hAnsi="Arial"/>
          <w:sz w:val="21"/>
        </w:rPr>
        <w:t xml:space="preserve">Cost reduction programs are in place to lower costs but realization of the per-unit savings is expected to take several months. </w:t>
      </w:r>
    </w:p>
    <w:p>
      <w:pPr>
        <w:pStyle w:val="Normal"/>
        <w:jc w:val="both"/>
        <w:rPr>
          <w:rFonts w:ascii="Arial" w:hAnsi="Arial" w:cs="Arial"/>
          <w:sz w:val="21"/>
        </w:rPr>
      </w:pPr>
      <w:r>
        <w:rPr>
          <w:rFonts w:cs="Arial" w:ascii="Arial" w:hAnsi="Arial"/>
          <w:sz w:val="21"/>
        </w:rPr>
      </w:r>
    </w:p>
    <w:p>
      <w:pPr>
        <w:pStyle w:val="Normal"/>
        <w:jc w:val="both"/>
        <w:rPr>
          <w:rFonts w:ascii="Arial" w:hAnsi="Arial" w:cs="Arial"/>
          <w:sz w:val="21"/>
        </w:rPr>
      </w:pPr>
      <w:r>
        <w:rPr>
          <w:rFonts w:cs="Arial" w:ascii="Arial" w:hAnsi="Arial"/>
          <w:sz w:val="21"/>
        </w:rPr>
        <w:t xml:space="preserve">Sales are lower than forecast due to several reasons including: a short term reduction resulting from the mutual termination of the Timber Products Sales Agreement, an historical inconsistency in the quality of the board that management believes has been corrected, and a seasonal slowdown from June and July.  CanFibre expects to clear its excess inventory by the end of September and to maintain a balance between production and sales thereafter.  Sales forecasts for August and September indicate shipments should exceed 60% of capacity with a continual but gradual ramp-up to capacity during the 6 months thereafter. </w:t>
      </w:r>
    </w:p>
    <w:p>
      <w:pPr>
        <w:pStyle w:val="Normal"/>
        <w:jc w:val="both"/>
        <w:rPr>
          <w:rFonts w:ascii="Arial" w:hAnsi="Arial" w:cs="Arial"/>
          <w:sz w:val="21"/>
        </w:rPr>
      </w:pPr>
      <w:r>
        <w:rPr>
          <w:rFonts w:cs="Arial" w:ascii="Arial" w:hAnsi="Arial"/>
          <w:sz w:val="21"/>
        </w:rPr>
      </w:r>
    </w:p>
    <w:p>
      <w:pPr>
        <w:pStyle w:val="Normal"/>
        <w:jc w:val="both"/>
        <w:rPr>
          <w:rFonts w:ascii="Arial" w:hAnsi="Arial" w:cs="Arial"/>
          <w:sz w:val="21"/>
        </w:rPr>
      </w:pPr>
      <w:r>
        <w:rPr>
          <w:rFonts w:cs="Arial" w:ascii="Arial" w:hAnsi="Arial"/>
          <w:sz w:val="21"/>
        </w:rPr>
        <w:t>As a direct result of the above, combined with the setbacks earlier in the year resulting from Stone &amp; Webster’s poor performance and eventual bankruptcy, CanFibre of Riverside is experiencing a cash liquidity problem.  While future operations are expected to begin to cover operating costs, outstanding financial obligations have not been met and the company is seeking different methods to satisfy these obligations.</w:t>
      </w:r>
    </w:p>
    <w:p>
      <w:pPr>
        <w:pStyle w:val="Normal"/>
        <w:jc w:val="both"/>
        <w:rPr>
          <w:rFonts w:ascii="Arial" w:hAnsi="Arial" w:cs="Arial"/>
          <w:sz w:val="21"/>
        </w:rPr>
      </w:pPr>
      <w:r>
        <w:rPr>
          <w:rFonts w:cs="Arial" w:ascii="Arial" w:hAnsi="Arial"/>
          <w:sz w:val="21"/>
        </w:rPr>
      </w:r>
    </w:p>
    <w:p>
      <w:pPr>
        <w:pStyle w:val="Normal"/>
        <w:jc w:val="both"/>
        <w:rPr>
          <w:rFonts w:ascii="Arial" w:hAnsi="Arial" w:cs="Arial"/>
          <w:sz w:val="21"/>
        </w:rPr>
      </w:pPr>
      <w:r>
        <w:rPr>
          <w:rFonts w:cs="Arial" w:ascii="Arial" w:hAnsi="Arial"/>
          <w:sz w:val="21"/>
        </w:rPr>
        <w:t xml:space="preserve">Despite passing the Final Performance Test, the Riverside plant has not received its Final Acceptance Certificate from the Independent Engineer. This is due primarily to not having received its final environmental operating permits.  While obtaining these permits is not expected to detract from production, the certificate is likely to be delayed until the Independent Engineer representing the bondholders in the project has accepted that all equipment installed will meet permit requirements.  Receiving the certificate was a requirement of the EPC contractor necessary to satisfy all of the debt covenants of the bondholders.  CanFibre assumed this responsibility following the termination of Stone &amp; Webster. </w:t>
      </w:r>
    </w:p>
    <w:p>
      <w:pPr>
        <w:pStyle w:val="Normal"/>
        <w:jc w:val="both"/>
        <w:rPr>
          <w:rFonts w:ascii="Arial" w:hAnsi="Arial" w:cs="Arial"/>
          <w:sz w:val="21"/>
        </w:rPr>
      </w:pPr>
      <w:r>
        <w:rPr>
          <w:rFonts w:cs="Arial" w:ascii="Arial" w:hAnsi="Arial"/>
          <w:sz w:val="21"/>
        </w:rPr>
      </w:r>
    </w:p>
    <w:p>
      <w:pPr>
        <w:pStyle w:val="Normal"/>
        <w:jc w:val="both"/>
        <w:rPr>
          <w:rFonts w:ascii="Arial" w:hAnsi="Arial" w:cs="Arial"/>
          <w:sz w:val="21"/>
        </w:rPr>
      </w:pPr>
      <w:r>
        <w:rPr>
          <w:rFonts w:cs="Arial" w:ascii="Arial" w:hAnsi="Arial"/>
          <w:sz w:val="21"/>
        </w:rPr>
      </w:r>
      <w:r>
        <w:br w:type="page"/>
      </w:r>
    </w:p>
    <w:p>
      <w:pPr>
        <w:pStyle w:val="Normal"/>
        <w:jc w:val="both"/>
        <w:rPr>
          <w:rFonts w:ascii="Arial" w:hAnsi="Arial" w:cs="Arial"/>
          <w:sz w:val="21"/>
        </w:rPr>
      </w:pPr>
      <w:r>
        <w:rPr>
          <w:rFonts w:cs="Arial" w:ascii="Arial" w:hAnsi="Arial"/>
          <w:sz w:val="21"/>
        </w:rPr>
      </w:r>
    </w:p>
    <w:p>
      <w:pPr>
        <w:pStyle w:val="Normal"/>
        <w:jc w:val="both"/>
        <w:rPr>
          <w:rFonts w:ascii="Arial" w:hAnsi="Arial" w:cs="Arial"/>
          <w:sz w:val="21"/>
        </w:rPr>
      </w:pPr>
      <w:r>
        <w:rPr>
          <w:rFonts w:cs="Arial" w:ascii="Arial" w:hAnsi="Arial"/>
          <w:sz w:val="21"/>
        </w:rPr>
      </w:r>
    </w:p>
    <w:p>
      <w:pPr>
        <w:pStyle w:val="Normal"/>
        <w:jc w:val="both"/>
        <w:rPr>
          <w:rFonts w:ascii="Arial" w:hAnsi="Arial" w:cs="Arial"/>
          <w:sz w:val="21"/>
        </w:rPr>
      </w:pPr>
      <w:r>
        <w:rPr>
          <w:rFonts w:cs="Arial" w:ascii="Arial" w:hAnsi="Arial"/>
          <w:sz w:val="21"/>
        </w:rPr>
        <w:t>Several positive events have occurred that support management’s belief that CanFibre of Riverside will be a success:</w:t>
      </w:r>
    </w:p>
    <w:p>
      <w:pPr>
        <w:pStyle w:val="Normal"/>
        <w:jc w:val="both"/>
        <w:rPr>
          <w:rFonts w:ascii="Arial" w:hAnsi="Arial" w:cs="Arial"/>
          <w:sz w:val="21"/>
        </w:rPr>
      </w:pPr>
      <w:r>
        <w:rPr>
          <w:rFonts w:cs="Arial" w:ascii="Arial" w:hAnsi="Arial"/>
          <w:sz w:val="21"/>
        </w:rPr>
      </w:r>
    </w:p>
    <w:p>
      <w:pPr>
        <w:pStyle w:val="Normal"/>
        <w:numPr>
          <w:ilvl w:val="0"/>
          <w:numId w:val="3"/>
        </w:numPr>
        <w:jc w:val="both"/>
        <w:rPr>
          <w:rFonts w:ascii="Arial" w:hAnsi="Arial" w:cs="Arial"/>
          <w:sz w:val="21"/>
        </w:rPr>
      </w:pPr>
      <w:r>
        <w:rPr>
          <w:rFonts w:cs="Arial" w:ascii="Arial" w:hAnsi="Arial"/>
          <w:sz w:val="21"/>
        </w:rPr>
        <w:t>The Home Depot sales program announced February 29, 2000 has continued unabated.</w:t>
      </w:r>
    </w:p>
    <w:p>
      <w:pPr>
        <w:pStyle w:val="Normal"/>
        <w:numPr>
          <w:ilvl w:val="0"/>
          <w:numId w:val="3"/>
        </w:numPr>
        <w:jc w:val="both"/>
        <w:rPr>
          <w:rFonts w:ascii="Arial" w:hAnsi="Arial" w:cs="Arial"/>
          <w:sz w:val="21"/>
        </w:rPr>
      </w:pPr>
      <w:r>
        <w:rPr>
          <w:rFonts w:cs="Arial" w:ascii="Arial" w:hAnsi="Arial"/>
          <w:sz w:val="21"/>
        </w:rPr>
        <w:t xml:space="preserve">The National Distribution Program announced May 24, 2000 now includes 68 distribution locations at 30 distributors in western North America and 91 distribution locations at 13 distributors in eastern North America.  </w:t>
      </w:r>
    </w:p>
    <w:p>
      <w:pPr>
        <w:pStyle w:val="Normal"/>
        <w:numPr>
          <w:ilvl w:val="0"/>
          <w:numId w:val="3"/>
        </w:numPr>
        <w:jc w:val="both"/>
        <w:rPr>
          <w:rFonts w:ascii="Arial" w:hAnsi="Arial" w:cs="Arial"/>
          <w:sz w:val="21"/>
        </w:rPr>
      </w:pPr>
      <w:r>
        <w:rPr>
          <w:rFonts w:cs="Arial" w:ascii="Arial" w:hAnsi="Arial"/>
          <w:sz w:val="21"/>
        </w:rPr>
        <w:t>All of the distributors have taken delivery of at least their first order of AllGreen</w:t>
      </w:r>
      <w:r>
        <w:rPr>
          <w:rFonts w:eastAsia="Symbol" w:cs="Symbol" w:ascii="Symbol" w:hAnsi="Symbol"/>
        </w:rPr>
        <w:sym w:font="Symbol" w:char="f0e4"/>
      </w:r>
      <w:r>
        <w:rPr>
          <w:rFonts w:cs="Arial" w:ascii="Arial" w:hAnsi="Arial"/>
          <w:sz w:val="21"/>
        </w:rPr>
        <w:t xml:space="preserve">. </w:t>
      </w:r>
    </w:p>
    <w:p>
      <w:pPr>
        <w:pStyle w:val="Normal"/>
        <w:numPr>
          <w:ilvl w:val="0"/>
          <w:numId w:val="3"/>
        </w:numPr>
        <w:jc w:val="both"/>
        <w:rPr>
          <w:rFonts w:ascii="Arial" w:hAnsi="Arial" w:cs="Arial"/>
          <w:sz w:val="21"/>
        </w:rPr>
      </w:pPr>
      <w:r>
        <w:rPr>
          <w:rFonts w:cs="Arial" w:ascii="Arial" w:hAnsi="Arial"/>
          <w:sz w:val="21"/>
        </w:rPr>
        <w:t xml:space="preserve">The plant has taken its first orders to ship several containers of material to Asia in August. </w:t>
      </w:r>
    </w:p>
    <w:p>
      <w:pPr>
        <w:pStyle w:val="Normal"/>
        <w:numPr>
          <w:ilvl w:val="0"/>
          <w:numId w:val="3"/>
        </w:numPr>
        <w:jc w:val="both"/>
        <w:rPr>
          <w:rFonts w:ascii="Arial" w:hAnsi="Arial" w:cs="Arial"/>
          <w:sz w:val="21"/>
        </w:rPr>
      </w:pPr>
      <w:r>
        <w:rPr>
          <w:rFonts w:cs="Arial" w:ascii="Arial" w:hAnsi="Arial"/>
          <w:sz w:val="21"/>
        </w:rPr>
        <w:t>The Mouldings program announced July 12, 2000 is growing rapidly with Mouldings sales of $92,000 and $275,000 having been achieved in June and July respectively and continued growth expected.</w:t>
      </w:r>
    </w:p>
    <w:p>
      <w:pPr>
        <w:pStyle w:val="Normal"/>
        <w:jc w:val="both"/>
        <w:rPr>
          <w:rFonts w:ascii="Arial" w:hAnsi="Arial" w:cs="Arial"/>
          <w:sz w:val="21"/>
        </w:rPr>
      </w:pPr>
      <w:r>
        <w:rPr>
          <w:rFonts w:cs="Arial" w:ascii="Arial" w:hAnsi="Arial"/>
          <w:sz w:val="21"/>
        </w:rPr>
      </w:r>
    </w:p>
    <w:p>
      <w:pPr>
        <w:pStyle w:val="Normal"/>
        <w:ind w:start="60" w:end="0"/>
        <w:jc w:val="both"/>
        <w:rPr>
          <w:rFonts w:ascii="Arial" w:hAnsi="Arial" w:cs="Arial"/>
          <w:sz w:val="21"/>
        </w:rPr>
      </w:pPr>
      <w:r>
        <w:rPr>
          <w:rFonts w:cs="Arial" w:ascii="Arial" w:hAnsi="Arial"/>
          <w:sz w:val="21"/>
        </w:rPr>
        <w:t>In Lackawanna, construction is proceeding well but delays did result from the need to terminate SWEC.  First board is now expected in late October and the Final Performance Test in April, 2001 compared to a contracted date of December 31, 2000 with the EPC contractor.  Commissioning of subsystems is well advanced and construction is almost complete.  After terminating SWEC, CanFibre discovered that as much as $7 million of payments made by CanFibre to SWEC had not been used by SWEC to pay sub-contractors and vendors.  Accordingly, CanFibre is seeking approximately $4 million to complete construction and ramp-up of the facility.</w:t>
      </w:r>
    </w:p>
    <w:p>
      <w:pPr>
        <w:pStyle w:val="Normal"/>
        <w:ind w:start="60" w:end="0"/>
        <w:jc w:val="both"/>
        <w:rPr>
          <w:rFonts w:ascii="Arial" w:hAnsi="Arial" w:cs="Arial"/>
          <w:sz w:val="21"/>
        </w:rPr>
      </w:pPr>
      <w:r>
        <w:rPr>
          <w:rFonts w:cs="Arial" w:ascii="Arial" w:hAnsi="Arial"/>
          <w:sz w:val="21"/>
        </w:rPr>
      </w:r>
    </w:p>
    <w:p>
      <w:pPr>
        <w:pStyle w:val="Normal"/>
        <w:ind w:start="60" w:end="0"/>
        <w:jc w:val="both"/>
        <w:rPr>
          <w:rFonts w:ascii="Arial" w:hAnsi="Arial" w:cs="Arial"/>
          <w:sz w:val="21"/>
        </w:rPr>
      </w:pPr>
      <w:r>
        <w:rPr>
          <w:rFonts w:cs="Arial" w:ascii="Arial" w:hAnsi="Arial"/>
          <w:sz w:val="21"/>
        </w:rPr>
        <w:t>CanFibre has several claims against Stone &amp; Webster included as part of that Company’s bankruptcy proceedings.  While CanFibre is confident about its eventual success with these claims, management does not expect to realize any cash from these claims in the near term.</w:t>
      </w:r>
    </w:p>
    <w:p>
      <w:pPr>
        <w:pStyle w:val="Normal"/>
        <w:ind w:start="60" w:end="0"/>
        <w:jc w:val="both"/>
        <w:rPr>
          <w:rFonts w:ascii="Arial" w:hAnsi="Arial" w:cs="Arial"/>
          <w:sz w:val="21"/>
        </w:rPr>
      </w:pPr>
      <w:r>
        <w:rPr>
          <w:rFonts w:cs="Arial" w:ascii="Arial" w:hAnsi="Arial"/>
          <w:sz w:val="21"/>
        </w:rPr>
      </w:r>
    </w:p>
    <w:p>
      <w:pPr>
        <w:pStyle w:val="Normal"/>
        <w:ind w:start="60" w:end="0"/>
        <w:jc w:val="both"/>
        <w:rPr>
          <w:rFonts w:ascii="Arial" w:hAnsi="Arial" w:cs="Arial"/>
          <w:sz w:val="21"/>
        </w:rPr>
      </w:pPr>
      <w:r>
        <w:rPr>
          <w:rFonts w:cs="Arial" w:ascii="Arial" w:hAnsi="Arial"/>
          <w:sz w:val="21"/>
        </w:rPr>
        <w:t>As a result of performance not yet meeting expectations in Riverside, CanFibre has deferred development efforts of additional plants until it has proven Riverside to be an operational and economic success.  In addition, while CanFibre has continued to develop its Barkboard technology, it is seeking an industry partner to continue development of the project.</w:t>
      </w:r>
    </w:p>
    <w:p>
      <w:pPr>
        <w:pStyle w:val="Normal"/>
        <w:jc w:val="both"/>
        <w:rPr>
          <w:rFonts w:ascii="Arial" w:hAnsi="Arial" w:cs="Arial"/>
          <w:sz w:val="21"/>
        </w:rPr>
      </w:pPr>
      <w:r>
        <w:rPr>
          <w:rFonts w:cs="Arial" w:ascii="Arial" w:hAnsi="Arial"/>
          <w:sz w:val="21"/>
        </w:rPr>
      </w:r>
    </w:p>
    <w:p>
      <w:pPr>
        <w:pStyle w:val="Normal"/>
        <w:jc w:val="both"/>
        <w:rPr>
          <w:rFonts w:ascii="Arial" w:hAnsi="Arial" w:cs="Arial"/>
          <w:sz w:val="21"/>
        </w:rPr>
      </w:pPr>
      <w:r>
        <w:rPr>
          <w:rFonts w:cs="Arial" w:ascii="Arial" w:hAnsi="Arial"/>
          <w:sz w:val="21"/>
        </w:rPr>
      </w:r>
    </w:p>
    <w:p>
      <w:pPr>
        <w:pStyle w:val="BodyText"/>
        <w:rPr>
          <w:rFonts w:ascii="Arial" w:hAnsi="Arial" w:cs="Arial"/>
          <w:bCs/>
          <w:sz w:val="21"/>
        </w:rPr>
      </w:pPr>
      <w:r>
        <w:rPr>
          <w:rFonts w:cs="Arial" w:ascii="Arial" w:hAnsi="Arial"/>
          <w:bCs/>
          <w:sz w:val="21"/>
        </w:rPr>
        <w:t xml:space="preserve">Shares Issued and Outstanding:  </w:t>
      </w:r>
    </w:p>
    <w:p>
      <w:pPr>
        <w:pStyle w:val="BodyText"/>
        <w:jc w:val="both"/>
        <w:rPr>
          <w:rFonts w:ascii="Arial" w:hAnsi="Arial" w:cs="Arial"/>
          <w:b w:val="false"/>
          <w:bCs/>
          <w:sz w:val="21"/>
        </w:rPr>
      </w:pPr>
      <w:r>
        <w:rPr>
          <w:rFonts w:cs="Arial" w:ascii="Arial" w:hAnsi="Arial"/>
          <w:b w:val="false"/>
          <w:bCs/>
          <w:sz w:val="21"/>
        </w:rPr>
      </w:r>
    </w:p>
    <w:p>
      <w:pPr>
        <w:pStyle w:val="Normal"/>
        <w:jc w:val="center"/>
        <w:rPr>
          <w:rFonts w:ascii="Arial" w:hAnsi="Arial" w:cs="Arial"/>
          <w:b/>
          <w:sz w:val="18"/>
          <w:u w:val="single"/>
        </w:rPr>
      </w:pPr>
      <w:r>
        <w:rPr>
          <w:rFonts w:cs="Arial" w:ascii="Arial" w:hAnsi="Arial"/>
          <w:b/>
          <w:sz w:val="18"/>
          <w:u w:val="single"/>
        </w:rPr>
        <w:t>DIRECT ALL INQUIRIES TO:</w:t>
      </w:r>
    </w:p>
    <w:p>
      <w:pPr>
        <w:pStyle w:val="Normal"/>
        <w:jc w:val="both"/>
        <w:rPr>
          <w:rFonts w:ascii="Arial" w:hAnsi="Arial" w:cs="Arial"/>
          <w:b/>
          <w:sz w:val="20"/>
          <w:u w:val="single"/>
        </w:rPr>
      </w:pPr>
      <w:r>
        <w:rPr>
          <w:rFonts w:cs="Arial" w:ascii="Arial" w:hAnsi="Arial"/>
          <w:b/>
          <w:sz w:val="20"/>
          <w:u w:val="single"/>
        </w:rPr>
      </w:r>
    </w:p>
    <w:p>
      <w:pPr>
        <w:pStyle w:val="Heading2"/>
        <w:ind w:hanging="0" w:start="0"/>
        <w:rPr/>
      </w:pPr>
      <w:r>
        <w:rPr/>
        <w:tab/>
        <w:t>Tony Francel</w:t>
        <w:tab/>
        <w:tab/>
        <w:tab/>
        <w:tab/>
        <w:tab/>
        <w:t>Chris Carl</w:t>
      </w:r>
    </w:p>
    <w:p>
      <w:pPr>
        <w:pStyle w:val="Normal"/>
        <w:jc w:val="both"/>
        <w:rPr/>
      </w:pPr>
      <w:r>
        <w:rPr>
          <w:rFonts w:cs="Arial" w:ascii="Arial" w:hAnsi="Arial"/>
          <w:b/>
          <w:sz w:val="20"/>
        </w:rPr>
        <w:tab/>
      </w:r>
      <w:r>
        <w:rPr>
          <w:rFonts w:cs="Arial" w:ascii="Arial" w:hAnsi="Arial"/>
          <w:sz w:val="20"/>
        </w:rPr>
        <w:t>Director, Investor Relations</w:t>
        <w:tab/>
        <w:tab/>
        <w:tab/>
        <w:t>President</w:t>
      </w:r>
    </w:p>
    <w:p>
      <w:pPr>
        <w:pStyle w:val="Normal"/>
        <w:jc w:val="both"/>
        <w:rPr>
          <w:rFonts w:ascii="Arial" w:hAnsi="Arial" w:cs="Arial"/>
          <w:sz w:val="20"/>
        </w:rPr>
      </w:pPr>
      <w:r>
        <w:rPr>
          <w:rFonts w:cs="Arial" w:ascii="Arial" w:hAnsi="Arial"/>
          <w:sz w:val="20"/>
        </w:rPr>
        <w:tab/>
        <w:t>Toll Free:</w:t>
        <w:tab/>
        <w:t>(888) 333-5377</w:t>
        <w:tab/>
        <w:tab/>
        <w:tab/>
        <w:t>The CanFibre Group Ltd.</w:t>
      </w:r>
    </w:p>
    <w:p>
      <w:pPr>
        <w:pStyle w:val="Normal"/>
        <w:jc w:val="both"/>
        <w:rPr>
          <w:rFonts w:ascii="Arial" w:hAnsi="Arial" w:cs="Arial"/>
          <w:sz w:val="20"/>
        </w:rPr>
      </w:pPr>
      <w:r>
        <w:rPr>
          <w:rFonts w:cs="Arial" w:ascii="Arial" w:hAnsi="Arial"/>
          <w:sz w:val="20"/>
        </w:rPr>
        <w:tab/>
        <w:t>Tel:</w:t>
        <w:tab/>
        <w:tab/>
        <w:t>(941) 698-8920</w:t>
        <w:tab/>
        <w:tab/>
        <w:tab/>
        <w:t>Tel:</w:t>
        <w:tab/>
        <w:tab/>
        <w:t>(416) 681-9990</w:t>
      </w:r>
    </w:p>
    <w:p>
      <w:pPr>
        <w:pStyle w:val="Normal"/>
        <w:jc w:val="both"/>
        <w:rPr>
          <w:rFonts w:ascii="Arial" w:hAnsi="Arial" w:cs="Arial"/>
          <w:sz w:val="20"/>
        </w:rPr>
      </w:pPr>
      <w:r>
        <w:rPr>
          <w:rFonts w:cs="Arial" w:ascii="Arial" w:hAnsi="Arial"/>
          <w:sz w:val="20"/>
        </w:rPr>
        <w:tab/>
        <w:t>Fax:</w:t>
        <w:tab/>
        <w:tab/>
        <w:t>(781) 326-5105</w:t>
        <w:tab/>
        <w:tab/>
        <w:tab/>
        <w:t>Fax:</w:t>
        <w:tab/>
        <w:tab/>
        <w:t>(416) 681-9992</w:t>
      </w:r>
    </w:p>
    <w:p>
      <w:pPr>
        <w:pStyle w:val="Normal"/>
        <w:jc w:val="both"/>
        <w:rPr>
          <w:rFonts w:ascii="Arial" w:hAnsi="Arial" w:cs="Arial"/>
          <w:sz w:val="20"/>
        </w:rPr>
      </w:pPr>
      <w:r>
        <w:rPr>
          <w:rFonts w:cs="Arial" w:ascii="Arial" w:hAnsi="Arial"/>
          <w:sz w:val="20"/>
        </w:rPr>
        <w:tab/>
        <w:t>Website:</w:t>
        <w:tab/>
      </w:r>
      <w:hyperlink r:id="rId4">
        <w:r>
          <w:rPr>
            <w:rStyle w:val="Hyperlink"/>
            <w:rFonts w:cs="Arial" w:ascii="Arial" w:hAnsi="Arial"/>
            <w:sz w:val="20"/>
          </w:rPr>
          <w:t>www.kafus.com</w:t>
        </w:r>
      </w:hyperlink>
      <w:r>
        <w:rPr>
          <w:rFonts w:cs="Arial" w:ascii="Arial" w:hAnsi="Arial"/>
          <w:sz w:val="20"/>
        </w:rPr>
        <w:tab/>
        <w:tab/>
        <w:tab/>
        <w:t>Website:</w:t>
        <w:tab/>
      </w:r>
      <w:hyperlink r:id="rId5">
        <w:r>
          <w:rPr>
            <w:rStyle w:val="Hyperlink"/>
            <w:rFonts w:cs="Arial" w:ascii="Arial" w:hAnsi="Arial"/>
            <w:sz w:val="20"/>
          </w:rPr>
          <w:t>www.canfibre.com</w:t>
        </w:r>
      </w:hyperlink>
    </w:p>
    <w:p>
      <w:pPr>
        <w:pStyle w:val="BodyText"/>
        <w:jc w:val="both"/>
        <w:rPr>
          <w:rFonts w:ascii="Arial" w:hAnsi="Arial" w:cs="Arial"/>
          <w:b w:val="false"/>
          <w:sz w:val="21"/>
        </w:rPr>
      </w:pPr>
      <w:r>
        <w:rPr>
          <w:rFonts w:cs="Arial" w:ascii="Arial" w:hAnsi="Arial"/>
          <w:b w:val="false"/>
          <w:sz w:val="21"/>
        </w:rPr>
      </w:r>
    </w:p>
    <w:p>
      <w:pPr>
        <w:pStyle w:val="BodyText"/>
        <w:rPr>
          <w:rFonts w:ascii="Arial" w:hAnsi="Arial" w:cs="Arial"/>
          <w:sz w:val="21"/>
        </w:rPr>
      </w:pPr>
      <w:r>
        <w:rPr>
          <w:rFonts w:cs="Arial" w:ascii="Arial" w:hAnsi="Arial"/>
        </w:rPr>
        <w:t>Toll Free Customer Inquiries:  (888) 355-4733</w:t>
      </w:r>
    </w:p>
    <w:p>
      <w:pPr>
        <w:pStyle w:val="BodyText"/>
        <w:jc w:val="both"/>
        <w:rPr>
          <w:rFonts w:ascii="Arial" w:hAnsi="Arial" w:cs="Arial"/>
          <w:b w:val="false"/>
          <w:sz w:val="21"/>
        </w:rPr>
      </w:pPr>
      <w:r>
        <w:rPr>
          <w:rFonts w:cs="Arial" w:ascii="Arial" w:hAnsi="Arial"/>
          <w:b w:val="false"/>
          <w:sz w:val="21"/>
        </w:rPr>
      </w:r>
    </w:p>
    <w:p>
      <w:pPr>
        <w:pStyle w:val="BodyText"/>
        <w:jc w:val="both"/>
        <w:rPr>
          <w:rFonts w:ascii="Arial" w:hAnsi="Arial" w:cs="Arial"/>
          <w:b w:val="false"/>
          <w:sz w:val="21"/>
        </w:rPr>
      </w:pPr>
      <w:r>
        <w:rPr>
          <w:rFonts w:cs="Arial" w:ascii="Arial" w:hAnsi="Arial"/>
          <w:b w:val="false"/>
          <w:sz w:val="21"/>
        </w:rPr>
      </w:r>
    </w:p>
    <w:p>
      <w:pPr>
        <w:pStyle w:val="BodyText"/>
        <w:jc w:val="both"/>
        <w:rPr>
          <w:rFonts w:ascii="Arial" w:hAnsi="Arial" w:cs="Arial"/>
          <w:b w:val="false"/>
          <w:sz w:val="21"/>
        </w:rPr>
      </w:pPr>
      <w:r>
        <w:rPr>
          <w:rFonts w:cs="Arial" w:ascii="Arial" w:hAnsi="Arial"/>
          <w:b w:val="false"/>
          <w:sz w:val="21"/>
        </w:rPr>
      </w:r>
    </w:p>
    <w:p>
      <w:pPr>
        <w:pStyle w:val="BodyTextIndent2"/>
        <w:pBdr>
          <w:top w:val="single" w:sz="4" w:space="1" w:color="000000"/>
          <w:left w:val="single" w:sz="4" w:space="4" w:color="000000"/>
          <w:bottom w:val="single" w:sz="4" w:space="1" w:color="000000"/>
          <w:right w:val="single" w:sz="4" w:space="11" w:color="000000"/>
        </w:pBdr>
        <w:ind w:hanging="0" w:end="0"/>
        <w:jc w:val="both"/>
        <w:rPr>
          <w:rFonts w:ascii="Arial" w:hAnsi="Arial" w:cs="Arial"/>
        </w:rPr>
      </w:pPr>
      <w:r>
        <w:rPr>
          <w:rFonts w:cs="Arial" w:ascii="Arial" w:hAnsi="Arial"/>
        </w:rPr>
        <w:t xml:space="preserve">The foregoing contains forward-looking statements, which are subject to contingencies and uncertainties.  Such forward looking statements are not guarantees of future performance, and are based on numerous assumptions about future conditions that could prove to be inaccurate including without limitation, the assumption that CanFibre will be able to raise the necessary financing to develop its projects and that there is market acceptance for its products.  Actual events, transactions, and results may differ materially from anticipated events, transactions or results described in such statements.  Material uncertainties about the future of the company exist.  </w:t>
      </w:r>
    </w:p>
    <w:p>
      <w:pPr>
        <w:pStyle w:val="Normal"/>
        <w:jc w:val="both"/>
        <w:rPr>
          <w:rFonts w:ascii="Arial" w:hAnsi="Arial" w:cs="Arial"/>
          <w:sz w:val="21"/>
        </w:rPr>
      </w:pPr>
      <w:r>
        <w:rPr>
          <w:rFonts w:cs="Arial" w:ascii="Arial" w:hAnsi="Arial"/>
          <w:sz w:val="21"/>
        </w:rPr>
      </w:r>
    </w:p>
    <w:sectPr>
      <w:headerReference w:type="default" r:id="rId6"/>
      <w:headerReference w:type="first" r:id="rId7"/>
      <w:type w:val="nextPage"/>
      <w:pgSz w:w="12240" w:h="15840"/>
      <w:pgMar w:left="1800" w:right="1440" w:gutter="0" w:header="720" w:top="1080" w:footer="0" w:bottom="90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22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22"/>
      <w:szCs w:val="20"/>
    </w:rPr>
  </w:style>
  <w:style w:type="paragraph" w:styleId="Heading2">
    <w:name w:val="heading 2"/>
    <w:basedOn w:val="Normal"/>
    <w:next w:val="Normal"/>
    <w:qFormat/>
    <w:pPr>
      <w:keepNext w:val="true"/>
      <w:numPr>
        <w:ilvl w:val="1"/>
        <w:numId w:val="1"/>
      </w:numPr>
      <w:jc w:val="both"/>
      <w:outlineLvl w:val="1"/>
    </w:pPr>
    <w:rPr>
      <w:rFonts w:ascii="Arial" w:hAnsi="Arial" w:cs="Arial"/>
      <w:b/>
      <w:sz w:val="20"/>
    </w:rPr>
  </w:style>
  <w:style w:type="paragraph" w:styleId="Heading3">
    <w:name w:val="heading 3"/>
    <w:basedOn w:val="Normal"/>
    <w:next w:val="Normal"/>
    <w:qFormat/>
    <w:pPr>
      <w:keepNext w:val="true"/>
      <w:numPr>
        <w:ilvl w:val="2"/>
        <w:numId w:val="1"/>
      </w:numPr>
      <w:jc w:val="center"/>
      <w:outlineLvl w:val="2"/>
    </w:pPr>
    <w:rPr>
      <w:rFonts w:ascii="Arial" w:hAnsi="Arial" w:cs="Arial"/>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pBdr>
        <w:top w:val="single" w:sz="4" w:space="1" w:color="000000"/>
        <w:left w:val="single" w:sz="4" w:space="4" w:color="000000"/>
        <w:bottom w:val="single" w:sz="4" w:space="1" w:color="000000"/>
        <w:right w:val="single" w:sz="4" w:space="4" w:color="000000"/>
      </w:pBdr>
      <w:ind w:firstLine="90" w:start="0" w:end="0"/>
    </w:pPr>
    <w:rPr>
      <w:sz w:val="16"/>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center"/>
    </w:pPr>
    <w:rPr>
      <w:rFonts w:ascii="Arial" w:hAnsi="Arial" w:cs="Arial"/>
      <w:b/>
      <w:bCs/>
      <w:sz w:val="22"/>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http://www.kafus.com/" TargetMode="External"/><Relationship Id="rId5" Type="http://schemas.openxmlformats.org/officeDocument/2006/relationships/hyperlink" Target="http://www.canfibre.com/"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2000-08-04T12:25:00Z</dcterms:created>
  <dc:creator>Ch</dc:creator>
  <dc:description/>
  <dc:language>en-CA</dc:language>
  <cp:lastModifiedBy>Dawn</cp:lastModifiedBy>
  <cp:lastPrinted>2000-08-04T10:55:00Z</cp:lastPrinted>
  <dcterms:modified xsi:type="dcterms:W3CDTF">2000-08-04T12:27:00Z</dcterms:modified>
  <cp:revision>3</cp:revision>
  <dc:subject/>
  <dc:title>News Release</dc:title>
</cp:coreProperties>
</file>