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fldChar w:fldCharType="begin"/>
      </w:r>
      <w:r>
        <w:rPr/>
        <w:instrText xml:space="preserve"> DATE \@"MMMM\ d', 'yyyy" </w:instrText>
      </w:r>
      <w:r>
        <w:rPr/>
        <w:fldChar w:fldCharType="separate"/>
      </w:r>
      <w:r>
        <w:rPr/>
        <w:t>September 28, 2025</w:t>
      </w:r>
      <w:r>
        <w:rPr/>
        <w:fldChar w:fldCharType="end"/>
      </w:r>
    </w:p>
    <w:p>
      <w:pPr>
        <w:pStyle w:val="Normal"/>
        <w:rPr/>
      </w:pPr>
      <w:r>
        <w:rPr/>
      </w:r>
    </w:p>
    <w:p>
      <w:pPr>
        <w:pStyle w:val="Normal"/>
        <w:rPr/>
      </w:pPr>
      <w:r>
        <w:rPr/>
      </w:r>
    </w:p>
    <w:p>
      <w:pPr>
        <w:pStyle w:val="Normal"/>
        <w:rPr/>
      </w:pPr>
      <w:r>
        <w:rPr/>
      </w:r>
    </w:p>
    <w:p>
      <w:pPr>
        <w:pStyle w:val="Normal"/>
        <w:rPr/>
      </w:pPr>
      <w:r>
        <w:rPr/>
        <w:t>John Haswell</w:t>
        <w:tab/>
        <w:tab/>
        <w:tab/>
        <w:tab/>
        <w:tab/>
        <w:tab/>
        <w:tab/>
        <w:t>Jeffrey A. Stone</w:t>
      </w:r>
    </w:p>
    <w:p>
      <w:pPr>
        <w:pStyle w:val="Normal"/>
        <w:rPr/>
      </w:pPr>
      <w:r>
        <w:rPr/>
        <w:t>Chandler, Lang, Haswell &amp; Cole, PA</w:t>
        <w:tab/>
        <w:tab/>
        <w:tab/>
        <w:tab/>
        <w:t>Beggs &amp; Lane</w:t>
      </w:r>
    </w:p>
    <w:p>
      <w:pPr>
        <w:pStyle w:val="Normal"/>
        <w:rPr/>
      </w:pPr>
      <w:r>
        <w:rPr/>
        <w:t>211 NE 1</w:t>
      </w:r>
      <w:r>
        <w:rPr>
          <w:vertAlign w:val="superscript"/>
        </w:rPr>
        <w:t>st</w:t>
      </w:r>
      <w:r>
        <w:rPr/>
        <w:t xml:space="preserve"> Street</w:t>
        <w:tab/>
        <w:tab/>
        <w:tab/>
        <w:tab/>
        <w:tab/>
        <w:tab/>
        <w:t>Post Office Box 12950</w:t>
      </w:r>
    </w:p>
    <w:p>
      <w:pPr>
        <w:pStyle w:val="Normal"/>
        <w:rPr/>
      </w:pPr>
      <w:r>
        <w:rPr/>
        <w:t>Gainesville, Florida  32602</w:t>
        <w:tab/>
        <w:tab/>
        <w:tab/>
        <w:tab/>
        <w:tab/>
        <w:t>Pensacola, Florida  32576</w:t>
      </w:r>
    </w:p>
    <w:p>
      <w:pPr>
        <w:pStyle w:val="Normal"/>
        <w:rPr/>
      </w:pPr>
      <w:r>
        <w:rPr/>
      </w:r>
    </w:p>
    <w:p>
      <w:pPr>
        <w:pStyle w:val="BodyTextIndent"/>
        <w:rPr/>
      </w:pPr>
      <w:r>
        <w:rPr/>
        <w:t>RE:</w:t>
        <w:tab/>
        <w:t>Docket No.:  010441-EU - Petition to resolve territorial dispute with Gulf Power Company in Washington County by West Florida Electric Cooperative Association, Inc.</w:t>
      </w:r>
    </w:p>
    <w:p>
      <w:pPr>
        <w:pStyle w:val="Normal"/>
        <w:rPr/>
      </w:pPr>
      <w:r>
        <w:rPr/>
      </w:r>
    </w:p>
    <w:p>
      <w:pPr>
        <w:pStyle w:val="Normal"/>
        <w:rPr/>
      </w:pPr>
      <w:r>
        <w:rPr/>
        <w:t>Gentlemen:</w:t>
      </w:r>
    </w:p>
    <w:p>
      <w:pPr>
        <w:pStyle w:val="Normal"/>
        <w:rPr/>
      </w:pPr>
      <w:r>
        <w:rPr/>
      </w:r>
    </w:p>
    <w:p>
      <w:pPr>
        <w:pStyle w:val="Normal"/>
        <w:ind w:firstLine="720" w:end="0"/>
        <w:rPr/>
      </w:pPr>
      <w:r>
        <w:rPr/>
        <w:t xml:space="preserve">I have received a copy of the motion in the above referenced matter.  My client has asked that I reaffirm their urgent need to begin testing the motors and mechanisms now being installed at Site 13a on ___________ if Enron Compression Services ("ECS") is to meet its contractual obligations. </w:t>
      </w:r>
    </w:p>
    <w:p>
      <w:pPr>
        <w:pStyle w:val="Normal"/>
        <w:rPr/>
      </w:pPr>
      <w:r>
        <w:rPr/>
      </w:r>
    </w:p>
    <w:p>
      <w:pPr>
        <w:pStyle w:val="Normal"/>
        <w:ind w:firstLine="720" w:end="0"/>
        <w:rPr/>
      </w:pPr>
      <w:r>
        <w:rPr/>
        <w:t>In the past you or your clients have emphasized that ECS will have electric power by that date even if the territorial dispute is not resolved.  We appreciate that commitment and ECS continues to rely upon it.  We trust that the new scheduled contained in the Response and Joinder, if the underlying motion is granted by the Commission, will not affect the schedule for delivering electric power to Site 13a. If we are not correct in this regard, I ask that you notify me at your earliest convenience.  All of my contact information is below:</w:t>
      </w:r>
    </w:p>
    <w:p>
      <w:pPr>
        <w:pStyle w:val="Normal"/>
        <w:ind w:firstLine="720" w:end="0"/>
        <w:jc w:val="center"/>
        <w:rPr/>
      </w:pPr>
      <w:r>
        <w:rPr/>
      </w:r>
    </w:p>
    <w:p>
      <w:pPr>
        <w:pStyle w:val="Normal"/>
        <w:ind w:firstLine="720" w:end="0"/>
        <w:jc w:val="center"/>
        <w:rPr/>
      </w:pPr>
      <w:r>
        <w:rPr/>
        <w:t>850/425-1676 (secretary, Daphne)</w:t>
      </w:r>
    </w:p>
    <w:p>
      <w:pPr>
        <w:pStyle w:val="Normal"/>
        <w:ind w:firstLine="720" w:end="0"/>
        <w:jc w:val="center"/>
        <w:rPr/>
      </w:pPr>
      <w:r>
        <w:rPr/>
        <w:t>850/510-5308 (cellular)</w:t>
      </w:r>
    </w:p>
    <w:p>
      <w:pPr>
        <w:pStyle w:val="Normal"/>
        <w:ind w:firstLine="720" w:end="0"/>
        <w:jc w:val="center"/>
        <w:rPr/>
      </w:pPr>
      <w:r>
        <w:rPr/>
        <w:t>850/893-4093 (home)</w:t>
      </w:r>
    </w:p>
    <w:p>
      <w:pPr>
        <w:pStyle w:val="Normal"/>
        <w:jc w:val="center"/>
        <w:rPr/>
      </w:pPr>
      <w:r>
        <w:rPr/>
      </w:r>
    </w:p>
    <w:p>
      <w:pPr>
        <w:pStyle w:val="Normal"/>
        <w:ind w:firstLine="720" w:start="3600" w:end="0"/>
        <w:rPr/>
      </w:pPr>
      <w:r>
        <w:rPr/>
        <w:t>Sincerely,</w:t>
      </w:r>
    </w:p>
    <w:p>
      <w:pPr>
        <w:pStyle w:val="Normal"/>
        <w:ind w:firstLine="720" w:start="3600" w:end="0"/>
        <w:rPr/>
      </w:pPr>
      <w:r>
        <w:rPr/>
      </w:r>
    </w:p>
    <w:p>
      <w:pPr>
        <w:pStyle w:val="Normal"/>
        <w:ind w:firstLine="720" w:start="3600" w:end="0"/>
        <w:rPr/>
      </w:pPr>
      <w:r>
        <w:rPr/>
      </w:r>
    </w:p>
    <w:p>
      <w:pPr>
        <w:pStyle w:val="Normal"/>
        <w:ind w:firstLine="720" w:start="3600" w:end="0"/>
        <w:rPr/>
      </w:pPr>
      <w:r>
        <w:rPr/>
      </w:r>
    </w:p>
    <w:p>
      <w:pPr>
        <w:pStyle w:val="Normal"/>
        <w:ind w:firstLine="720" w:start="3600" w:end="0"/>
        <w:rPr/>
      </w:pPr>
      <w:r>
        <w:rPr/>
        <w:t>Bill L. Bryant, Jr.</w:t>
      </w:r>
    </w:p>
    <w:p>
      <w:pPr>
        <w:pStyle w:val="Normal"/>
        <w:rPr/>
      </w:pPr>
      <w:r>
        <w:rPr/>
        <w:t>BLB:deg</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144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2001-07-13T13:00:00Z</dcterms:created>
  <dc:creator>BILL</dc:creator>
  <dc:description/>
  <dc:language>en-CA</dc:language>
  <cp:lastModifiedBy>Daphne E. Gilbert</cp:lastModifiedBy>
  <cp:lastPrinted>2001-07-13T11:28:00Z</cp:lastPrinted>
  <dcterms:modified xsi:type="dcterms:W3CDTF">2001-07-13T13:40:00Z</dcterms:modified>
  <cp:revision>4</cp:revision>
  <dc:subject/>
  <dc:title>Docket No</dc:title>
</cp:coreProperties>
</file>