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480" w:after="0"/>
        <w:jc w:val="center"/>
        <w:rPr>
          <w:b/>
          <w:bCs/>
        </w:rPr>
      </w:pPr>
      <w:bookmarkStart w:id="0" w:name="PleadingCPUCModel"/>
      <w:r>
        <w:rPr>
          <w:b/>
          <w:bCs/>
        </w:rPr>
        <w:t>BEFORE THE PUBLIC UTILITIES COMMISSION</w:t>
        <w:br/>
        <w:t>OF THE STATE OF CALIFORNIA</w:t>
      </w:r>
    </w:p>
    <w:p>
      <w:pPr>
        <w:pStyle w:val="Normal"/>
        <w:rPr>
          <w:b/>
          <w:bCs/>
        </w:rPr>
      </w:pPr>
      <w:r>
        <w:rPr>
          <w:b/>
          <w:bCs/>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tabs>
                <w:tab w:val="clear" w:pos="720"/>
                <w:tab w:val="left" w:pos="1440" w:leader="none"/>
              </w:tabs>
              <w:rPr/>
            </w:pPr>
            <w:r>
              <w:rPr/>
              <w:t>Order Instituting Investigation into implementation of Assembly Bill 970 regarding the identification of electric transmission and distribution constraints, actions to resolve those constraints, and related matters affecting the reliability of electric supply.</w:t>
            </w:r>
          </w:p>
          <w:p>
            <w:pPr>
              <w:pStyle w:val="Normal"/>
              <w:tabs>
                <w:tab w:val="clear" w:pos="720"/>
                <w:tab w:val="left" w:pos="1440" w:leader="none"/>
              </w:tabs>
              <w:rPr/>
            </w:pPr>
            <w:r>
              <w:rPr/>
            </w:r>
          </w:p>
          <w:p>
            <w:pPr>
              <w:pStyle w:val="Normal"/>
              <w:tabs>
                <w:tab w:val="clear" w:pos="720"/>
                <w:tab w:val="left" w:pos="1440" w:leader="none"/>
              </w:tabs>
              <w:jc w:val="end"/>
              <w:rPr/>
            </w:pPr>
            <w:r>
              <w:rPr/>
              <w:t>(U 39 E)</w:t>
            </w:r>
          </w:p>
        </w:tc>
        <w:tc>
          <w:tcPr>
            <w:tcW w:w="4968" w:type="dxa"/>
            <w:tcBorders>
              <w:start w:val="dashed" w:sz="6" w:space="0" w:color="auto"/>
            </w:tcBorders>
          </w:tcPr>
          <w:p>
            <w:pPr>
              <w:pStyle w:val="Normal"/>
              <w:snapToGrid w:val="false"/>
              <w:ind w:start="252" w:end="0"/>
              <w:rPr/>
            </w:pPr>
            <w:r>
              <w:rPr/>
            </w:r>
          </w:p>
          <w:p>
            <w:pPr>
              <w:pStyle w:val="Normal"/>
              <w:ind w:start="252" w:end="0"/>
              <w:rPr/>
            </w:pPr>
            <w:r>
              <w:rPr/>
            </w:r>
          </w:p>
          <w:p>
            <w:pPr>
              <w:pStyle w:val="Normal"/>
              <w:ind w:start="252" w:end="0"/>
              <w:rPr/>
            </w:pPr>
            <w:r>
              <w:rPr/>
              <w:t>Investigation No. 00-11-001</w:t>
              <w:br/>
              <w:t>(Filed November 2, 2000)</w:t>
            </w:r>
          </w:p>
          <w:p>
            <w:pPr>
              <w:pStyle w:val="Normal"/>
              <w:ind w:start="252" w:end="0"/>
              <w:jc w:val="center"/>
              <w:rPr/>
            </w:pPr>
            <w:r>
              <w:rPr/>
            </w:r>
          </w:p>
          <w:p>
            <w:pPr>
              <w:pStyle w:val="Normal"/>
              <w:ind w:start="252" w:end="0"/>
              <w:rPr/>
            </w:pPr>
            <w:r>
              <w:rPr/>
            </w:r>
          </w:p>
        </w:tc>
      </w:tr>
    </w:tbl>
    <w:p>
      <w:pPr>
        <w:pStyle w:val="Normal"/>
        <w:rPr/>
      </w:pPr>
      <w:r>
        <w:rPr/>
      </w:r>
    </w:p>
    <w:p>
      <w:pPr>
        <w:pStyle w:val="Normal"/>
        <w:rPr/>
      </w:pPr>
      <w:r>
        <w:rPr/>
      </w:r>
    </w:p>
    <w:p>
      <w:pPr>
        <w:pStyle w:val="Normal"/>
        <w:rPr/>
      </w:pPr>
      <w:r>
        <w:rPr/>
      </w:r>
    </w:p>
    <w:p>
      <w:pPr>
        <w:pStyle w:val="Normal"/>
        <w:rPr/>
      </w:pPr>
      <w:r>
        <w:rPr/>
      </w:r>
    </w:p>
    <w:p>
      <w:pPr>
        <w:pStyle w:val="Normal"/>
        <w:jc w:val="center"/>
        <w:rPr>
          <w:b/>
          <w:bCs/>
        </w:rPr>
      </w:pPr>
      <w:r>
        <w:rPr>
          <w:b/>
          <w:bCs/>
        </w:rPr>
        <w:t xml:space="preserve">MONTHLY PROJECT STATUS REPORT OF </w:t>
      </w:r>
    </w:p>
    <w:p>
      <w:pPr>
        <w:pStyle w:val="Normal"/>
        <w:jc w:val="center"/>
        <w:rPr>
          <w:b/>
          <w:bCs/>
        </w:rPr>
      </w:pPr>
      <w:r>
        <w:rPr>
          <w:b/>
          <w:bCs/>
        </w:rPr>
        <w:t>PACIFIC GAS AND ELECTRIC COMPANY</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ind w:start="3600" w:end="0"/>
        <w:rPr/>
      </w:pPr>
      <w:r>
        <w:rPr/>
        <w:t>MICHELLE L. WILSON</w:t>
      </w:r>
    </w:p>
    <w:p>
      <w:pPr>
        <w:pStyle w:val="Normal"/>
        <w:ind w:start="3600" w:end="0"/>
        <w:rPr/>
      </w:pPr>
      <w:r>
        <w:rPr/>
        <w:t>DAVID T. KRASKA</w:t>
      </w:r>
    </w:p>
    <w:p>
      <w:pPr>
        <w:pStyle w:val="Normal"/>
        <w:ind w:start="3600" w:end="0"/>
        <w:rPr/>
      </w:pPr>
      <w:r>
        <w:rPr/>
      </w:r>
    </w:p>
    <w:p>
      <w:pPr>
        <w:pStyle w:val="Normal"/>
        <w:ind w:start="3600" w:end="0"/>
        <w:rPr/>
      </w:pPr>
      <w:r>
        <w:rPr/>
        <w:t>Law Department</w:t>
      </w:r>
    </w:p>
    <w:p>
      <w:pPr>
        <w:pStyle w:val="Normal"/>
        <w:ind w:start="3600" w:end="0"/>
        <w:rPr/>
      </w:pPr>
      <w:r>
        <w:rPr/>
        <w:t>Pacific Gas and Electric Company</w:t>
      </w:r>
    </w:p>
    <w:p>
      <w:pPr>
        <w:pStyle w:val="Normal"/>
        <w:ind w:start="3600" w:end="0"/>
        <w:rPr/>
      </w:pPr>
      <w:r>
        <w:rPr/>
        <w:t>Post Office Box 7442</w:t>
      </w:r>
    </w:p>
    <w:p>
      <w:pPr>
        <w:pStyle w:val="Normal"/>
        <w:ind w:start="3600" w:end="0"/>
        <w:rPr/>
      </w:pPr>
      <w:r>
        <w:rPr/>
        <w:t>San Francisco, CA  94120</w:t>
      </w:r>
    </w:p>
    <w:p>
      <w:pPr>
        <w:pStyle w:val="Normal"/>
        <w:ind w:start="3600" w:end="0"/>
        <w:rPr/>
      </w:pPr>
      <w:r>
        <w:rPr/>
        <w:t>Telephone: (415) 973-7503</w:t>
      </w:r>
    </w:p>
    <w:p>
      <w:pPr>
        <w:pStyle w:val="Normal"/>
        <w:ind w:start="3600" w:end="0"/>
        <w:rPr/>
      </w:pPr>
      <w:r>
        <w:rPr/>
        <w:t>Facsimile:  (415) 973-0516</w:t>
      </w:r>
    </w:p>
    <w:p>
      <w:pPr>
        <w:pStyle w:val="Normal"/>
        <w:ind w:start="3600" w:end="0"/>
        <w:rPr/>
      </w:pPr>
      <w:r>
        <w:rPr/>
        <w:t>E-Mail:       dtk5@pge.com</w:t>
      </w:r>
    </w:p>
    <w:p>
      <w:pPr>
        <w:pStyle w:val="Normal"/>
        <w:ind w:start="3600" w:end="0"/>
        <w:rPr/>
      </w:pPr>
      <w:r>
        <w:rPr/>
      </w:r>
    </w:p>
    <w:p>
      <w:pPr>
        <w:pStyle w:val="Normal"/>
        <w:ind w:start="3600" w:end="0"/>
        <w:rPr/>
      </w:pPr>
      <w:r>
        <w:rPr/>
        <w:t>Attorneys for</w:t>
      </w:r>
    </w:p>
    <w:p>
      <w:pPr>
        <w:pStyle w:val="Normal"/>
        <w:ind w:start="3600" w:end="0"/>
        <w:rPr/>
      </w:pPr>
      <w:r>
        <w:rPr/>
        <w:t>PACIFIC GAS AND ELECTRIC COMPANY</w:t>
      </w:r>
    </w:p>
    <w:p>
      <w:pPr>
        <w:pStyle w:val="Normal"/>
        <w:ind w:start="3240" w:end="0"/>
        <w:rPr/>
      </w:pPr>
      <w:r>
        <w:rPr/>
      </w:r>
    </w:p>
    <w:p>
      <w:pPr>
        <w:pStyle w:val="Normal"/>
        <w:rPr/>
      </w:pPr>
      <w:r>
        <w:rPr/>
      </w:r>
    </w:p>
    <w:p>
      <w:pPr>
        <w:pStyle w:val="Normal"/>
        <w:rPr/>
      </w:pPr>
      <w:r>
        <w:rPr/>
        <w:t>Dated:  July 2, 2001</w:t>
      </w:r>
      <w:r>
        <w:br w:type="page"/>
      </w:r>
    </w:p>
    <w:p>
      <w:pPr>
        <w:pStyle w:val="Normal"/>
        <w:jc w:val="center"/>
        <w:rPr>
          <w:b/>
          <w:bCs/>
        </w:rPr>
      </w:pPr>
      <w:r>
        <w:rPr>
          <w:b/>
          <w:bCs/>
        </w:rPr>
        <w:t>BEFORE THE PUBLIC UTILITIES COMMISSION</w:t>
        <w:br/>
        <w:t>OF THE STATE OF CALIFORNIA</w:t>
      </w:r>
    </w:p>
    <w:p>
      <w:pPr>
        <w:pStyle w:val="Normal"/>
        <w:rPr>
          <w:b/>
          <w:bCs/>
        </w:rPr>
      </w:pPr>
      <w:r>
        <w:rPr>
          <w:b/>
          <w:bCs/>
        </w:rPr>
      </w:r>
    </w:p>
    <w:p>
      <w:pPr>
        <w:pStyle w:val="Normal"/>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tabs>
                <w:tab w:val="clear" w:pos="720"/>
                <w:tab w:val="left" w:pos="1440" w:leader="none"/>
              </w:tabs>
              <w:rPr/>
            </w:pPr>
            <w:r>
              <w:rPr/>
              <w:t>Order Instituting Investigation into implementation of Assembly Bill 970 regarding the identification of electric transmission and distribution constraints, actions to resolve those constraints, and related matters affecting the reliability of electric supply.</w:t>
            </w:r>
          </w:p>
          <w:p>
            <w:pPr>
              <w:pStyle w:val="Normal"/>
              <w:tabs>
                <w:tab w:val="clear" w:pos="720"/>
                <w:tab w:val="left" w:pos="1440" w:leader="none"/>
              </w:tabs>
              <w:jc w:val="end"/>
              <w:rPr/>
            </w:pPr>
            <w:r>
              <w:rPr/>
            </w:r>
          </w:p>
        </w:tc>
        <w:tc>
          <w:tcPr>
            <w:tcW w:w="4968" w:type="dxa"/>
            <w:tcBorders>
              <w:start w:val="dashed" w:sz="6" w:space="0" w:color="auto"/>
            </w:tcBorders>
          </w:tcPr>
          <w:p>
            <w:pPr>
              <w:pStyle w:val="Normal"/>
              <w:snapToGrid w:val="false"/>
              <w:ind w:start="252" w:end="0"/>
              <w:rPr/>
            </w:pPr>
            <w:r>
              <w:rPr/>
            </w:r>
          </w:p>
          <w:p>
            <w:pPr>
              <w:pStyle w:val="Normal"/>
              <w:ind w:start="252" w:end="0"/>
              <w:rPr/>
            </w:pPr>
            <w:r>
              <w:rPr/>
            </w:r>
          </w:p>
          <w:p>
            <w:pPr>
              <w:pStyle w:val="Normal"/>
              <w:ind w:start="252" w:end="0"/>
              <w:rPr/>
            </w:pPr>
            <w:r>
              <w:rPr/>
              <w:t>Investigation No. 00-11-001</w:t>
              <w:br/>
              <w:t>(Filed November 2, 2000)</w:t>
            </w:r>
          </w:p>
          <w:p>
            <w:pPr>
              <w:pStyle w:val="Normal"/>
              <w:ind w:start="252" w:end="0"/>
              <w:rPr/>
            </w:pPr>
            <w:r>
              <w:rPr/>
            </w:r>
          </w:p>
          <w:p>
            <w:pPr>
              <w:pStyle w:val="Normal"/>
              <w:ind w:start="252" w:end="0"/>
              <w:jc w:val="center"/>
              <w:rPr/>
            </w:pPr>
            <w:r>
              <w:rPr/>
            </w:r>
          </w:p>
          <w:p>
            <w:pPr>
              <w:pStyle w:val="Normal"/>
              <w:ind w:start="252" w:end="0"/>
              <w:rPr/>
            </w:pPr>
            <w:r>
              <w:rPr/>
            </w:r>
          </w:p>
        </w:tc>
      </w:tr>
    </w:tbl>
    <w:p>
      <w:pPr>
        <w:pStyle w:val="Normal"/>
        <w:jc w:val="center"/>
        <w:rPr>
          <w:b/>
          <w:bCs/>
        </w:rPr>
      </w:pPr>
      <w:r>
        <w:rPr>
          <w:b/>
          <w:bCs/>
        </w:rPr>
      </w:r>
    </w:p>
    <w:p>
      <w:pPr>
        <w:pStyle w:val="Normal"/>
        <w:jc w:val="center"/>
        <w:rPr>
          <w:b/>
          <w:bCs/>
        </w:rPr>
      </w:pPr>
      <w:r>
        <w:rPr>
          <w:b/>
          <w:bCs/>
        </w:rPr>
      </w:r>
    </w:p>
    <w:p>
      <w:pPr>
        <w:pStyle w:val="Normal"/>
        <w:jc w:val="center"/>
        <w:rPr>
          <w:b/>
          <w:bCs/>
        </w:rPr>
      </w:pPr>
      <w:r>
        <w:rPr>
          <w:b/>
          <w:bCs/>
        </w:rPr>
        <w:t>MONTHLY PROJECT STATUS REPORT OF</w:t>
      </w:r>
    </w:p>
    <w:p>
      <w:pPr>
        <w:pStyle w:val="Normal"/>
        <w:jc w:val="center"/>
        <w:rPr>
          <w:b/>
          <w:bCs/>
        </w:rPr>
      </w:pPr>
      <w:r>
        <w:rPr>
          <w:b/>
          <w:bCs/>
        </w:rPr>
        <w:t>PACIFIC GAS AND ELECTRIC COMPANY</w:t>
      </w:r>
    </w:p>
    <w:p>
      <w:pPr>
        <w:pStyle w:val="Normal"/>
        <w:jc w:val="center"/>
        <w:rPr>
          <w:b/>
          <w:bCs/>
        </w:rPr>
      </w:pPr>
      <w:r>
        <w:rPr>
          <w:b/>
          <w:bCs/>
        </w:rPr>
      </w:r>
    </w:p>
    <w:p>
      <w:pPr>
        <w:pStyle w:val="Normal"/>
        <w:rPr>
          <w:b/>
          <w:bCs/>
        </w:rPr>
      </w:pPr>
      <w:r>
        <w:rPr>
          <w:b/>
          <w:bCs/>
        </w:rPr>
      </w:r>
    </w:p>
    <w:p>
      <w:pPr>
        <w:pStyle w:val="Normal"/>
        <w:spacing w:lineRule="exact" w:line="480"/>
        <w:ind w:firstLine="720" w:end="0"/>
        <w:rPr/>
      </w:pPr>
      <w:r>
        <w:rPr/>
        <w:t>In compliance with Administrative Law Judge Gottstein’s December 14, 2000 prehearing conference order, Pacific Gas and Electric Company attaches hereto, as Appendix A, its July, 2001 monthly project status report for the transmission projects discussed in the Comments of Pacific Gas and Electric Company dated November 22, 2000, as supplemented on November 30, 2000 and December 22, 2000, as well as for the generation interconnection projects discussed at the prehearing conference.</w:t>
      </w:r>
    </w:p>
    <w:p>
      <w:pPr>
        <w:pStyle w:val="Normal"/>
        <w:rPr/>
      </w:pPr>
      <w:r>
        <w:rPr/>
      </w:r>
    </w:p>
    <w:p>
      <w:pPr>
        <w:pStyle w:val="Normal"/>
        <w:keepNext w:val="true"/>
        <w:keepLines/>
        <w:ind w:start="3330" w:end="0"/>
        <w:rPr/>
      </w:pPr>
      <w:r>
        <w:rPr/>
      </w:r>
      <w:bookmarkStart w:id="1" w:name="SignaturePleadingCPUC"/>
      <w:bookmarkStart w:id="2" w:name="SignaturePleadingCPUC"/>
    </w:p>
    <w:p>
      <w:pPr>
        <w:pStyle w:val="Normal"/>
        <w:keepNext w:val="true"/>
        <w:keepLines/>
        <w:ind w:start="3330" w:end="0"/>
        <w:rPr/>
      </w:pPr>
      <w:r>
        <w:rPr/>
      </w:r>
    </w:p>
    <w:p>
      <w:pPr>
        <w:pStyle w:val="Normal"/>
        <w:keepNext w:val="true"/>
        <w:keepLines/>
        <w:ind w:start="3330" w:end="0"/>
        <w:rPr/>
      </w:pPr>
      <w:r>
        <w:rPr/>
        <w:t>Respectfully submitted,</w:t>
      </w:r>
    </w:p>
    <w:p>
      <w:pPr>
        <w:pStyle w:val="Normal"/>
        <w:keepNext w:val="true"/>
        <w:keepLines/>
        <w:ind w:start="3330" w:end="0"/>
        <w:rPr/>
      </w:pPr>
      <w:r>
        <w:rPr/>
      </w:r>
    </w:p>
    <w:p>
      <w:pPr>
        <w:pStyle w:val="Normal"/>
        <w:keepNext w:val="true"/>
        <w:keepLines/>
        <w:ind w:start="3330" w:end="0"/>
        <w:rPr/>
      </w:pPr>
      <w:r>
        <w:rPr/>
        <w:t>MICHELLE L. WILSON</w:t>
      </w:r>
    </w:p>
    <w:p>
      <w:pPr>
        <w:pStyle w:val="Normal"/>
        <w:keepNext w:val="true"/>
        <w:keepLines/>
        <w:ind w:start="3330" w:end="0"/>
        <w:rPr/>
      </w:pPr>
      <w:r>
        <w:rPr/>
        <w:t>DAVID T. KRASKA</w:t>
      </w:r>
    </w:p>
    <w:p>
      <w:pPr>
        <w:pStyle w:val="Normal"/>
        <w:keepNext w:val="true"/>
        <w:keepLines/>
        <w:ind w:start="3330" w:end="0"/>
        <w:rPr/>
      </w:pPr>
      <w:r>
        <w:rPr/>
      </w:r>
    </w:p>
    <w:p>
      <w:pPr>
        <w:pStyle w:val="Normal"/>
        <w:keepNext w:val="true"/>
        <w:keepLines/>
        <w:ind w:start="3330" w:end="0"/>
        <w:rPr/>
      </w:pPr>
      <w:r>
        <w:rPr/>
      </w:r>
    </w:p>
    <w:p>
      <w:pPr>
        <w:pStyle w:val="Normal"/>
        <w:keepNext w:val="true"/>
        <w:keepLines/>
        <w:tabs>
          <w:tab w:val="clear" w:pos="720"/>
          <w:tab w:val="left" w:pos="7920" w:leader="none"/>
        </w:tabs>
        <w:spacing w:lineRule="atLeast" w:line="240"/>
        <w:ind w:start="3326" w:end="0"/>
        <w:rPr/>
      </w:pPr>
      <w:r>
        <w:rPr/>
        <w:t xml:space="preserve">By </w:t>
      </w:r>
      <w:r>
        <w:rPr>
          <w:u w:val="single"/>
        </w:rPr>
        <w:tab/>
      </w:r>
    </w:p>
    <w:p>
      <w:pPr>
        <w:pStyle w:val="Normal"/>
        <w:keepNext w:val="true"/>
        <w:keepLines/>
        <w:tabs>
          <w:tab w:val="clear" w:pos="720"/>
          <w:tab w:val="center" w:pos="5760" w:leader="none"/>
          <w:tab w:val="left" w:pos="7560" w:leader="none"/>
        </w:tabs>
        <w:ind w:start="3330" w:end="0"/>
        <w:rPr/>
      </w:pPr>
      <w:r>
        <w:rPr/>
        <w:tab/>
        <w:t>DAVID T. KRASKA</w:t>
      </w:r>
    </w:p>
    <w:p>
      <w:pPr>
        <w:pStyle w:val="Normal"/>
        <w:keepNext w:val="true"/>
        <w:keepLines/>
        <w:tabs>
          <w:tab w:val="clear" w:pos="720"/>
          <w:tab w:val="center" w:pos="5760" w:leader="none"/>
          <w:tab w:val="left" w:pos="7560" w:leader="none"/>
        </w:tabs>
        <w:ind w:start="3330" w:end="0"/>
        <w:rPr/>
      </w:pPr>
      <w:r>
        <w:rPr/>
      </w:r>
    </w:p>
    <w:p>
      <w:pPr>
        <w:pStyle w:val="Normal"/>
        <w:keepNext w:val="true"/>
        <w:keepLines/>
        <w:ind w:start="3330" w:end="0"/>
        <w:rPr/>
      </w:pPr>
      <w:r>
        <w:rPr/>
      </w:r>
    </w:p>
    <w:p>
      <w:pPr>
        <w:pStyle w:val="Normal"/>
        <w:keepNext w:val="true"/>
        <w:keepLines/>
        <w:ind w:start="3330" w:end="0"/>
        <w:rPr/>
      </w:pPr>
      <w:r>
        <w:rPr/>
        <w:t>Law Department</w:t>
      </w:r>
    </w:p>
    <w:p>
      <w:pPr>
        <w:pStyle w:val="Normal"/>
        <w:keepNext w:val="true"/>
        <w:keepLines/>
        <w:ind w:start="3330" w:end="0"/>
        <w:rPr/>
      </w:pPr>
      <w:r>
        <w:rPr/>
        <w:t>Pacific Gas and Electric Company</w:t>
      </w:r>
    </w:p>
    <w:p>
      <w:pPr>
        <w:pStyle w:val="Normal"/>
        <w:keepNext w:val="true"/>
        <w:keepLines/>
        <w:ind w:start="3330" w:end="0"/>
        <w:rPr/>
      </w:pPr>
      <w:r>
        <w:rPr/>
        <w:t>Post Office Box 7442</w:t>
      </w:r>
    </w:p>
    <w:p>
      <w:pPr>
        <w:pStyle w:val="Normal"/>
        <w:keepNext w:val="true"/>
        <w:keepLines/>
        <w:ind w:start="3330" w:end="0"/>
        <w:rPr/>
      </w:pPr>
      <w:r>
        <w:rPr/>
        <w:t>San Francisco, CA  94120</w:t>
      </w:r>
    </w:p>
    <w:p>
      <w:pPr>
        <w:pStyle w:val="Normal"/>
        <w:keepNext w:val="true"/>
        <w:keepLines/>
        <w:ind w:start="3330" w:end="0"/>
        <w:rPr/>
      </w:pPr>
      <w:r>
        <w:rPr/>
        <w:t>Telephone: (415) 973-7503</w:t>
      </w:r>
    </w:p>
    <w:p>
      <w:pPr>
        <w:pStyle w:val="Normal"/>
        <w:keepNext w:val="true"/>
        <w:keepLines/>
        <w:ind w:start="3330" w:end="0"/>
        <w:rPr/>
      </w:pPr>
      <w:r>
        <w:rPr/>
        <w:t>Facsimile:   (415) 973-0516</w:t>
      </w:r>
    </w:p>
    <w:p>
      <w:pPr>
        <w:pStyle w:val="Normal"/>
        <w:keepNext w:val="true"/>
        <w:keepLines/>
        <w:ind w:start="3330" w:end="0"/>
        <w:rPr/>
      </w:pPr>
      <w:r>
        <w:rPr/>
        <w:t>E-mail:       dtk5@pge.com</w:t>
      </w:r>
    </w:p>
    <w:p>
      <w:pPr>
        <w:pStyle w:val="Normal"/>
        <w:keepNext w:val="true"/>
        <w:keepLines/>
        <w:ind w:start="3330" w:end="0"/>
        <w:rPr/>
      </w:pPr>
      <w:r>
        <w:rPr/>
      </w:r>
    </w:p>
    <w:p>
      <w:pPr>
        <w:pStyle w:val="Normal"/>
        <w:keepNext w:val="true"/>
        <w:keepLines/>
        <w:ind w:start="3330" w:end="0"/>
        <w:rPr/>
      </w:pPr>
      <w:r>
        <w:rPr/>
        <w:t>Attorneys for</w:t>
      </w:r>
    </w:p>
    <w:p>
      <w:pPr>
        <w:pStyle w:val="Normal"/>
        <w:keepNext w:val="true"/>
        <w:keepLines/>
        <w:ind w:start="3330" w:end="0"/>
        <w:rPr/>
      </w:pPr>
      <w:r>
        <w:rPr/>
        <w:t>PACIFIC GAS AND ELECTRIC COMPANY</w:t>
      </w:r>
    </w:p>
    <w:p>
      <w:pPr>
        <w:pStyle w:val="Normal"/>
        <w:keepNext w:val="true"/>
        <w:keepLines/>
        <w:ind w:start="4680" w:end="0"/>
        <w:rPr/>
      </w:pPr>
      <w:r>
        <w:rPr/>
      </w:r>
    </w:p>
    <w:p>
      <w:pPr>
        <w:pStyle w:val="Normal"/>
        <w:keepLines/>
        <w:rPr/>
      </w:pPr>
      <w:bookmarkStart w:id="3" w:name="PleadingCPUCModel"/>
      <w:bookmarkStart w:id="4" w:name="SignaturePleadingCPUC"/>
      <w:r>
        <w:rPr/>
        <w:t>Dated:  July 2, 2001</w:t>
      </w:r>
      <w:bookmarkEnd w:id="3"/>
      <w:bookmarkEnd w:id="4"/>
    </w:p>
    <w:sectPr>
      <w:footerReference w:type="default" r:id="rId2"/>
      <w:footerReference w:type="first" r:id="rId3"/>
      <w:type w:val="nextPage"/>
      <w:pgSz w:w="12240" w:h="15840"/>
      <w:pgMar w:left="1800" w:right="1080" w:gutter="0" w:header="0" w:top="1310" w:footer="432" w:bottom="1080"/>
      <w:pgNumType w:start="0"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before="240" w:after="0"/>
      <w:ind w:hanging="720" w:start="720" w:end="0"/>
      <w:outlineLvl w:val="0"/>
    </w:pPr>
    <w:rPr>
      <w:b/>
      <w:bCs/>
      <w:caps/>
    </w:rPr>
  </w:style>
  <w:style w:type="paragraph" w:styleId="Heading2">
    <w:name w:val="heading 2"/>
    <w:basedOn w:val="Heading1"/>
    <w:next w:val="BodyText"/>
    <w:qFormat/>
    <w:pPr>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Courier New" w:hAnsi="Courier New" w:eastAsia="Courier New" w:cs="Courier New"/>
      <w:color w:val="auto"/>
      <w:spacing w:val="0"/>
      <w:kern w:val="0"/>
      <w:sz w:val="24"/>
      <w:szCs w:val="24"/>
      <w:u w:val="none"/>
      <w:vertAlign w:val="superscript"/>
      <w:lang w:val="en-US"/>
    </w:rPr>
  </w:style>
  <w:style w:type="character" w:styleId="PageNumber">
    <w:name w:val="page number"/>
    <w:basedOn w:val="DefaultParagraphFont"/>
    <w:rPr>
      <w:rFonts w:ascii="Times New Roman" w:hAnsi="Times New Roman" w:eastAsia="Times New Roman" w:cs="Times New Roman"/>
      <w:color w:val="auto"/>
      <w:spacing w:val="0"/>
      <w:kern w:val="0"/>
      <w:position w:val="0"/>
      <w:sz w:val="24"/>
      <w:sz w:val="24"/>
      <w:szCs w:val="24"/>
      <w:u w:val="none"/>
      <w:vertAlign w:val="baseline"/>
      <w:lang w:val="en-US"/>
    </w:rPr>
  </w:style>
  <w:style w:type="paragraph" w:styleId="Heading">
    <w:name w:val="Heading"/>
    <w:basedOn w:val="Normal"/>
    <w:next w:val="BodyText"/>
    <w:qFormat/>
    <w:pPr>
      <w:spacing w:before="240" w:after="240"/>
      <w:ind w:hanging="0" w:start="720" w:end="720"/>
      <w:jc w:val="center"/>
    </w:pPr>
    <w:rPr>
      <w:b/>
      <w:bCs/>
      <w:kern w:val="2"/>
    </w:rPr>
  </w:style>
  <w:style w:type="paragraph" w:styleId="BodyText">
    <w:name w:val="Body Text"/>
    <w:basedOn w:val="Normal"/>
    <w:pPr>
      <w:widowControl w:val="false"/>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next w:val="BodyText"/>
    <w:pPr>
      <w:ind w:hanging="0" w:start="360" w:end="0"/>
    </w:pPr>
    <w:rPr/>
  </w:style>
  <w:style w:type="paragraph" w:styleId="Centered">
    <w:name w:val="Centered"/>
    <w:basedOn w:val="Normal"/>
    <w:next w:val="BodyText"/>
    <w:qFormat/>
    <w:pPr>
      <w:spacing w:before="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9821" w:leader="none"/>
      </w:tabs>
    </w:pPr>
    <w:rPr/>
  </w:style>
  <w:style w:type="paragraph" w:styleId="FootnoteText">
    <w:name w:val="footnote text"/>
    <w:basedOn w:val="Normal"/>
    <w:pPr>
      <w:tabs>
        <w:tab w:val="clear" w:pos="720"/>
        <w:tab w:val="left" w:pos="432" w:leader="none"/>
      </w:tabs>
      <w:spacing w:lineRule="auto" w:line="240" w:before="0" w:after="120"/>
      <w:ind w:hanging="432" w:start="432" w:end="0"/>
    </w:pPr>
    <w:rPr>
      <w:rFonts w:ascii="Times New Roman" w:hAnsi="Times New Roman" w:eastAsia="Times New Roman" w:cs="Times New Roman"/>
    </w:rPr>
  </w:style>
  <w:style w:type="paragraph" w:styleId="Header">
    <w:name w:val="header"/>
    <w:basedOn w:val="Normal"/>
    <w:pPr>
      <w:widowControl w:val="false"/>
      <w:tabs>
        <w:tab w:val="clear" w:pos="720"/>
        <w:tab w:val="center" w:pos="4320" w:leader="none"/>
        <w:tab w:val="right" w:pos="9821"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EnvelopeAddress">
    <w:name w:val="envelope address"/>
    <w:basedOn w:val="Normal"/>
    <w:pPr>
      <w:spacing w:lineRule="auto" w:line="240"/>
      <w:ind w:hanging="0" w:start="2880" w:end="0"/>
    </w:pPr>
    <w:rPr/>
  </w:style>
  <w:style w:type="paragraph" w:styleId="MacroText">
    <w:name w:val="Macro Text"/>
    <w:qFormat/>
    <w:pPr>
      <w:widowControl/>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NormalIndent">
    <w:name w:val="Normal Indent"/>
    <w:basedOn w:val="Normal"/>
    <w:qFormat/>
    <w:pPr>
      <w:ind w:hanging="0" w:start="720" w:end="720"/>
    </w:pPr>
    <w:rPr/>
  </w:style>
  <w:style w:type="paragraph" w:styleId="TOC1">
    <w:name w:val="toc 1"/>
    <w:basedOn w:val="Normal"/>
    <w:pPr>
      <w:keepLines/>
      <w:tabs>
        <w:tab w:val="clear" w:pos="720"/>
        <w:tab w:val="right" w:pos="9821" w:leader="dot"/>
      </w:tabs>
      <w:spacing w:before="0" w:after="120"/>
      <w:ind w:hanging="806" w:start="806" w:end="1440"/>
    </w:pPr>
    <w:rPr>
      <w:caps/>
    </w:rPr>
  </w:style>
  <w:style w:type="paragraph" w:styleId="TOC2">
    <w:name w:val="toc 2"/>
    <w:basedOn w:val="Normal"/>
    <w:pPr>
      <w:tabs>
        <w:tab w:val="clear" w:pos="720"/>
        <w:tab w:val="right" w:pos="9821" w:leader="dot"/>
      </w:tabs>
      <w:spacing w:before="0" w:after="120"/>
      <w:ind w:hanging="634" w:start="1440" w:end="1440"/>
    </w:pPr>
    <w:rPr/>
  </w:style>
  <w:style w:type="paragraph" w:styleId="TOC3">
    <w:name w:val="toc 3"/>
    <w:basedOn w:val="Normal"/>
    <w:pPr>
      <w:keepLines/>
      <w:tabs>
        <w:tab w:val="clear" w:pos="720"/>
        <w:tab w:val="right" w:pos="9821" w:leader="dot"/>
      </w:tabs>
      <w:spacing w:before="0" w:after="120"/>
      <w:ind w:hanging="720" w:start="2160" w:end="1440"/>
    </w:pPr>
    <w:rPr/>
  </w:style>
  <w:style w:type="paragraph" w:styleId="TOC4">
    <w:name w:val="toc 4"/>
    <w:basedOn w:val="Normal"/>
    <w:pPr>
      <w:keepLines/>
      <w:tabs>
        <w:tab w:val="clear" w:pos="720"/>
        <w:tab w:val="right" w:pos="9821" w:leader="dot"/>
      </w:tabs>
      <w:spacing w:before="0" w:after="120"/>
      <w:ind w:hanging="720" w:start="2880" w:end="1440"/>
    </w:pPr>
    <w:rPr/>
  </w:style>
  <w:style w:type="paragraph" w:styleId="TOC5">
    <w:name w:val="toc 5"/>
    <w:basedOn w:val="Normal"/>
    <w:pPr>
      <w:keepLines/>
      <w:tabs>
        <w:tab w:val="clear" w:pos="720"/>
        <w:tab w:val="right" w:pos="9821" w:leader="dot"/>
      </w:tabs>
      <w:spacing w:before="0" w:after="120"/>
      <w:ind w:hanging="720" w:start="3600" w:end="1440"/>
    </w:pPr>
    <w:rPr/>
  </w:style>
  <w:style w:type="paragraph" w:styleId="TOC6">
    <w:name w:val="toc 6"/>
    <w:basedOn w:val="Normal"/>
    <w:pPr>
      <w:keepLines/>
      <w:tabs>
        <w:tab w:val="clear" w:pos="720"/>
        <w:tab w:val="right" w:pos="9821" w:leader="dot"/>
      </w:tabs>
      <w:spacing w:before="0" w:after="120"/>
      <w:ind w:hanging="720" w:start="4320" w:end="1440"/>
    </w:pPr>
    <w:rPr/>
  </w:style>
  <w:style w:type="paragraph" w:styleId="TOC7">
    <w:name w:val="toc 7"/>
    <w:basedOn w:val="Normal"/>
    <w:pPr>
      <w:keepLines/>
      <w:tabs>
        <w:tab w:val="clear" w:pos="720"/>
        <w:tab w:val="right" w:pos="9821" w:leader="dot"/>
      </w:tabs>
      <w:spacing w:before="0" w:after="120"/>
      <w:ind w:hanging="806" w:start="5126" w:end="1440"/>
    </w:pPr>
    <w:rPr/>
  </w:style>
  <w:style w:type="paragraph" w:styleId="TOC8">
    <w:name w:val="toc 8"/>
    <w:basedOn w:val="Normal"/>
    <w:pPr>
      <w:keepLines/>
      <w:tabs>
        <w:tab w:val="clear" w:pos="720"/>
        <w:tab w:val="right" w:pos="9821" w:leader="dot"/>
      </w:tabs>
      <w:spacing w:before="0" w:after="120"/>
      <w:ind w:hanging="634" w:start="5760" w:end="1440"/>
    </w:pPr>
    <w:rPr/>
  </w:style>
  <w:style w:type="paragraph" w:styleId="TOC9">
    <w:name w:val="toc 9"/>
    <w:basedOn w:val="Normal"/>
    <w:pPr>
      <w:keepLines/>
      <w:tabs>
        <w:tab w:val="clear" w:pos="720"/>
        <w:tab w:val="right" w:pos="9821" w:leader="dot"/>
      </w:tabs>
      <w:spacing w:before="0" w:after="120"/>
      <w:ind w:hanging="720" w:start="6480" w:end="1440"/>
    </w:pPr>
    <w:rPr/>
  </w:style>
  <w:style w:type="paragraph" w:styleId="PleadingSignature">
    <w:name w:val="Pleading Signature"/>
    <w:basedOn w:val="Normal"/>
    <w:qFormat/>
    <w:pPr>
      <w:keepNext w:val="true"/>
      <w:keepLines/>
      <w:tabs>
        <w:tab w:val="clear" w:pos="720"/>
        <w:tab w:val="left" w:pos="4867" w:leader="none"/>
        <w:tab w:val="right" w:pos="9000" w:leader="none"/>
      </w:tabs>
      <w:ind w:hanging="4867" w:start="4867" w:end="0"/>
    </w:pPr>
    <w:rPr/>
  </w:style>
  <w:style w:type="paragraph" w:styleId="TOAHeading">
    <w:name w:val="TOA Heading"/>
    <w:basedOn w:val="Normal"/>
    <w:next w:val="TableofAuthorities"/>
    <w:qFormat/>
    <w:pPr>
      <w:keepNext w:val="true"/>
      <w:spacing w:before="120" w:after="120"/>
    </w:pPr>
    <w:rPr>
      <w:b/>
      <w:bCs/>
      <w:caps/>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LetterClosing">
    <w:name w:val="LetterClosing"/>
    <w:basedOn w:val="Normal"/>
    <w:next w:val="Normal"/>
    <w:qFormat/>
    <w:pPr/>
    <w:rPr/>
  </w:style>
  <w:style w:type="paragraph" w:styleId="Quote">
    <w:name w:val="Quote"/>
    <w:basedOn w:val="Normal"/>
    <w:next w:val="Normal"/>
    <w:qFormat/>
    <w:pPr>
      <w:spacing w:before="240" w:after="0"/>
      <w:ind w:hanging="0" w:start="1440" w:end="1440"/>
    </w:pPr>
    <w:rPr/>
  </w:style>
  <w:style w:type="paragraph" w:styleId="SDP">
    <w:name w:val="SDP"/>
    <w:basedOn w:val="Normal"/>
    <w:qFormat/>
    <w:pPr>
      <w:spacing w:lineRule="auto" w:line="240"/>
      <w:jc w:val="center"/>
    </w:pPr>
    <w:rPr>
      <w:rFonts w:ascii="Times New Roman" w:hAnsi="Times New Roman" w:eastAsia="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Pldcpuc.dot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2001-06-28T20:27:00Z</dcterms:created>
  <dc:creator>Gerianne Johnson</dc:creator>
  <dc:description/>
  <dc:language>en-CA</dc:language>
  <cp:lastModifiedBy>Gerianne Johnson</cp:lastModifiedBy>
  <cp:lastPrinted>2001-05-31T16:11:00Z</cp:lastPrinted>
  <dcterms:modified xsi:type="dcterms:W3CDTF">2001-06-28T20:27:00Z</dcterms:modified>
  <cp:revision>2</cp:revision>
  <dc:subject/>
  <dc:title>PG&amp;E CPUC Pleading Template, rev. 8/1/96, The Legal MacPac</dc:title>
</cp:coreProperties>
</file>