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s>
        <w:spacing w:before="100" w:after="0"/>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spacing w:before="100" w:after="0"/>
        <w:rPr/>
      </w:pPr>
      <w:r>
        <w:rPr/>
      </w:r>
    </w:p>
    <w:p>
      <w:pPr>
        <w:pStyle w:val="Normal"/>
        <w:spacing w:before="100" w:after="0"/>
        <w:rPr/>
      </w:pPr>
      <w:r>
        <w:rPr/>
      </w:r>
    </w:p>
    <w:p>
      <w:pPr>
        <w:pStyle w:val="Normal"/>
        <w:spacing w:before="100" w:after="0"/>
        <w:rPr/>
      </w:pPr>
      <w:r>
        <w:rPr/>
        <w:t>December 28, 2000</w:t>
      </w:r>
    </w:p>
    <w:p>
      <w:pPr>
        <w:pStyle w:val="Normal"/>
        <w:spacing w:before="100" w:after="0"/>
        <w:rPr/>
      </w:pPr>
      <w:r>
        <w:rPr/>
      </w:r>
    </w:p>
    <w:p>
      <w:pPr>
        <w:pStyle w:val="Normal"/>
        <w:numPr>
          <w:ilvl w:val="0"/>
          <w:numId w:val="0"/>
        </w:numPr>
        <w:tabs>
          <w:tab w:val="clear" w:pos="720"/>
          <w:tab w:val="right" w:pos="11232" w:leader="none"/>
        </w:tabs>
        <w:jc w:val="center"/>
        <w:outlineLvl w:val="0"/>
        <w:rPr>
          <w:b/>
          <w:sz w:val="24"/>
        </w:rPr>
      </w:pPr>
      <w:r>
        <w:rPr>
          <w:b/>
          <w:sz w:val="24"/>
        </w:rPr>
      </w:r>
    </w:p>
    <w:p>
      <w:pPr>
        <w:pStyle w:val="Normal"/>
        <w:numPr>
          <w:ilvl w:val="0"/>
          <w:numId w:val="0"/>
        </w:numPr>
        <w:tabs>
          <w:tab w:val="clear" w:pos="720"/>
          <w:tab w:val="right" w:pos="11232" w:leader="none"/>
        </w:tabs>
        <w:jc w:val="center"/>
        <w:outlineLvl w:val="0"/>
        <w:rPr>
          <w:b/>
          <w:sz w:val="24"/>
        </w:rPr>
      </w:pPr>
      <w:r>
        <w:rPr>
          <w:b/>
          <w:sz w:val="24"/>
        </w:rPr>
        <w:t xml:space="preserve">Equity Forward Confirmation </w:t>
      </w:r>
    </w:p>
    <w:p>
      <w:pPr>
        <w:pStyle w:val="Normal"/>
        <w:rPr>
          <w:b/>
          <w:sz w:val="24"/>
        </w:rPr>
      </w:pPr>
      <w:r>
        <w:rPr>
          <w:b/>
          <w:sz w:val="24"/>
        </w:rPr>
      </w:r>
    </w:p>
    <w:p>
      <w:pPr>
        <w:pStyle w:val="Normal"/>
        <w:rPr/>
      </w:pPr>
      <w:r>
        <w:rPr/>
      </w:r>
    </w:p>
    <w:p>
      <w:pPr>
        <w:pStyle w:val="Normal"/>
        <w:rPr/>
      </w:pPr>
      <w:r>
        <w:rPr/>
      </w:r>
    </w:p>
    <w:p>
      <w:pPr>
        <w:pStyle w:val="Normal"/>
        <w:pBdr>
          <w:bottom w:val="single" w:sz="6" w:space="1" w:color="000000"/>
        </w:pBdr>
        <w:rPr/>
      </w:pPr>
      <w:r>
        <w:rPr/>
        <w:t>To:</w:t>
        <w:tab/>
        <w:t>Bear, Stearns &amp; Co. International Limited  (Party “A”)</w:t>
      </w:r>
    </w:p>
    <w:p>
      <w:pPr>
        <w:pStyle w:val="Normal"/>
        <w:pBdr>
          <w:bottom w:val="single" w:sz="6" w:space="1" w:color="000000"/>
        </w:pBdr>
        <w:rPr/>
      </w:pPr>
      <w:r>
        <w:rPr/>
        <w:tab/>
        <w:t>245 Park Avenue</w:t>
      </w:r>
    </w:p>
    <w:p>
      <w:pPr>
        <w:pStyle w:val="Footer"/>
        <w:pBdr>
          <w:bottom w:val="single" w:sz="6" w:space="1" w:color="000000"/>
        </w:pBdr>
        <w:tabs>
          <w:tab w:val="clear" w:pos="4320"/>
          <w:tab w:val="clear" w:pos="8640"/>
        </w:tabs>
        <w:rPr/>
      </w:pPr>
      <w:r>
        <w:rPr/>
        <w:tab/>
        <w:t>New York, New York 10167</w:t>
      </w:r>
    </w:p>
    <w:p>
      <w:pPr>
        <w:pStyle w:val="Normal"/>
        <w:pBdr>
          <w:bottom w:val="single" w:sz="6" w:space="1" w:color="000000"/>
        </w:pBdr>
        <w:rPr/>
      </w:pPr>
      <w:r>
        <w:rPr/>
        <w:tab/>
        <w:t>Attention:  Tom Blair</w:t>
      </w:r>
    </w:p>
    <w:p>
      <w:pPr>
        <w:pStyle w:val="Normal"/>
        <w:pBdr>
          <w:bottom w:val="single" w:sz="6" w:space="1" w:color="000000"/>
        </w:pBdr>
        <w:rPr/>
      </w:pPr>
      <w:r>
        <w:rPr/>
        <w:tab/>
        <w:t>Telephone:  212 272-2000</w:t>
      </w:r>
    </w:p>
    <w:p>
      <w:pPr>
        <w:pStyle w:val="Normal"/>
        <w:pBdr>
          <w:bottom w:val="single" w:sz="6" w:space="1" w:color="000000"/>
        </w:pBdr>
        <w:rPr/>
      </w:pPr>
      <w:r>
        <w:rPr/>
        <w:tab/>
        <w:t>Facsimile:  212 272-9857</w:t>
      </w:r>
    </w:p>
    <w:p>
      <w:pPr>
        <w:pStyle w:val="Normal"/>
        <w:pBdr>
          <w:bottom w:val="single" w:sz="6" w:space="1" w:color="000000"/>
        </w:pBdr>
        <w:rPr/>
      </w:pPr>
      <w:r>
        <w:rPr/>
      </w:r>
    </w:p>
    <w:p>
      <w:pPr>
        <w:pStyle w:val="Normal"/>
        <w:pBdr>
          <w:bottom w:val="single" w:sz="6" w:space="1" w:color="000000"/>
        </w:pBdr>
        <w:rPr/>
      </w:pPr>
      <w:r>
        <w:rPr/>
        <w:t>From:</w:t>
        <w:tab/>
        <w:t>Enron Corp.  (Party “B”)</w:t>
      </w:r>
    </w:p>
    <w:p>
      <w:pPr>
        <w:pStyle w:val="Normal"/>
        <w:pBdr>
          <w:bottom w:val="single" w:sz="6" w:space="1" w:color="000000"/>
        </w:pBdr>
        <w:rPr/>
      </w:pPr>
      <w:r>
        <w:rPr/>
        <w:tab/>
        <w:t>1400 Smith Street</w:t>
      </w:r>
    </w:p>
    <w:p>
      <w:pPr>
        <w:pStyle w:val="Normal"/>
        <w:pBdr>
          <w:bottom w:val="single" w:sz="6" w:space="1" w:color="000000"/>
        </w:pBdr>
        <w:rPr/>
      </w:pPr>
      <w:r>
        <w:rPr/>
        <w:tab/>
        <w:t>Houston, TX 77002</w:t>
      </w:r>
    </w:p>
    <w:p>
      <w:pPr>
        <w:pStyle w:val="Normal"/>
        <w:pBdr>
          <w:bottom w:val="single" w:sz="6" w:space="1" w:color="000000"/>
        </w:pBdr>
        <w:rPr/>
      </w:pPr>
      <w:r>
        <w:rPr/>
        <w:tab/>
        <w:t>Attention:   Jeff Nogid</w:t>
      </w:r>
    </w:p>
    <w:p>
      <w:pPr>
        <w:pStyle w:val="Normal"/>
        <w:pBdr>
          <w:bottom w:val="single" w:sz="6" w:space="1" w:color="000000"/>
        </w:pBdr>
        <w:rPr/>
      </w:pPr>
      <w:r>
        <w:rPr/>
        <w:tab/>
        <w:t>Telephone: 713 853-4782</w:t>
      </w:r>
    </w:p>
    <w:p>
      <w:pPr>
        <w:pStyle w:val="Normal"/>
        <w:pBdr>
          <w:bottom w:val="single" w:sz="6" w:space="1" w:color="000000"/>
        </w:pBdr>
        <w:rPr/>
      </w:pPr>
      <w:r>
        <w:rPr/>
        <w:tab/>
        <w:t>Facsimile:  713 646-8517</w:t>
      </w:r>
    </w:p>
    <w:p>
      <w:pPr>
        <w:pStyle w:val="Normal"/>
        <w:pBdr>
          <w:bottom w:val="single" w:sz="6" w:space="1" w:color="000000"/>
        </w:pBdr>
        <w:tabs>
          <w:tab w:val="clear" w:pos="720"/>
          <w:tab w:val="right" w:pos="11232" w:leader="none"/>
        </w:tabs>
        <w:jc w:val="both"/>
        <w:rPr/>
      </w:pPr>
      <w:r>
        <w:rPr/>
      </w:r>
    </w:p>
    <w:p>
      <w:pPr>
        <w:pStyle w:val="HeadingConfirm"/>
        <w:tabs>
          <w:tab w:val="clear" w:pos="576"/>
          <w:tab w:val="clear" w:pos="900"/>
        </w:tabs>
        <w:spacing w:before="120" w:after="0"/>
        <w:rPr/>
      </w:pPr>
      <w:r>
        <w:rPr/>
        <w:t>Re:</w:t>
        <w:tab/>
        <w:t>Transaction BS Contract No. NY 11062</w:t>
      </w:r>
    </w:p>
    <w:p>
      <w:pPr>
        <w:pStyle w:val="HeadingConfirm"/>
        <w:tabs>
          <w:tab w:val="clear" w:pos="576"/>
          <w:tab w:val="clear" w:pos="900"/>
        </w:tabs>
        <w:spacing w:before="120" w:after="0"/>
        <w:rPr/>
      </w:pPr>
      <w:r>
        <w:rPr/>
      </w:r>
    </w:p>
    <w:p>
      <w:pPr>
        <w:pStyle w:val="Normal"/>
        <w:tabs>
          <w:tab w:val="clear" w:pos="720"/>
          <w:tab w:val="left" w:pos="9648" w:leader="none"/>
        </w:tabs>
        <w:jc w:val="both"/>
        <w:rPr/>
      </w:pPr>
      <w:r>
        <w:rPr/>
      </w:r>
    </w:p>
    <w:p>
      <w:pPr>
        <w:pStyle w:val="Normal"/>
        <w:tabs>
          <w:tab w:val="clear" w:pos="720"/>
          <w:tab w:val="left" w:pos="9648" w:leader="none"/>
        </w:tabs>
        <w:jc w:val="both"/>
        <w:rPr/>
      </w:pPr>
      <w:r>
        <w:rPr/>
        <w:t>Dear Sir or Madam:</w:t>
      </w:r>
    </w:p>
    <w:p>
      <w:pPr>
        <w:pStyle w:val="Normal"/>
        <w:tabs>
          <w:tab w:val="clear" w:pos="720"/>
          <w:tab w:val="left" w:pos="576" w:leader="none"/>
          <w:tab w:val="left" w:pos="1152" w:leader="none"/>
        </w:tabs>
        <w:ind w:end="14"/>
        <w:jc w:val="both"/>
        <w:rPr/>
      </w:pPr>
      <w:r>
        <w:rPr/>
      </w:r>
    </w:p>
    <w:p>
      <w:pPr>
        <w:pStyle w:val="Normal"/>
        <w:jc w:val="both"/>
        <w:rPr/>
      </w:pPr>
      <w:r>
        <w:rPr/>
        <w:t>The purpose of this document is to confirm the terms and conditions of the transaction entered into between Bear, Stearns &amp; Co. International Limited  (“Counterparty” or Party “A”) and Enron Corp. (“ENE” or Party “B”) on the Trade Date specified below (the “Transaction”).  This document constitutes a “Confirmation” as referred to in the ISDA Agreement specified below and the transaction described above constitutes a “Transaction” as referred to in such ISDA Agreement.</w:t>
      </w:r>
    </w:p>
    <w:p>
      <w:pPr>
        <w:pStyle w:val="Normal"/>
        <w:tabs>
          <w:tab w:val="clear" w:pos="720"/>
          <w:tab w:val="left" w:pos="576" w:leader="none"/>
          <w:tab w:val="left" w:pos="1152" w:leader="none"/>
        </w:tabs>
        <w:ind w:end="14"/>
        <w:jc w:val="both"/>
        <w:rPr/>
      </w:pPr>
      <w:r>
        <w:rPr/>
      </w:r>
    </w:p>
    <w:p>
      <w:pPr>
        <w:pStyle w:val="HeadingConfirm"/>
        <w:tabs>
          <w:tab w:val="clear" w:pos="900"/>
          <w:tab w:val="left" w:pos="576" w:leader="none"/>
        </w:tabs>
        <w:spacing w:before="0" w:after="0"/>
        <w:rPr/>
      </w:pPr>
      <w:r>
        <w:rPr/>
        <w:t>1.</w:t>
        <w:tab/>
        <w:t xml:space="preserve">The definitions and provisions contained in the 2000 ISDA Definitions (the “Swap Definitions”) and the 1996 ISDA Equity Derivatives Definitions (the “Equity Definitions”, and together with the Swap Definitions, the “Definitions”), as such definitions may be amended, supplemented, replaced or modified from time to time, as published by the International Swaps and Derivatives Association, Inc. (“ISDA”) are incorporated into this Confirmation.  In the event of any inconsistency between the Swap Definitions and the Equity Definitions, the Equity Definitions will govern.  In the event of any inconsistency between either set of Definitions and this Confirmation, this Confirmation will govern.  </w:t>
      </w:r>
    </w:p>
    <w:p>
      <w:pPr>
        <w:pStyle w:val="Normal"/>
        <w:tabs>
          <w:tab w:val="clear" w:pos="720"/>
          <w:tab w:val="left" w:pos="576" w:leader="none"/>
        </w:tabs>
        <w:jc w:val="both"/>
        <w:rPr/>
      </w:pPr>
      <w:r>
        <w:rPr/>
      </w:r>
      <w:r>
        <w:br w:type="page"/>
      </w:r>
    </w:p>
    <w:p>
      <w:pPr>
        <w:pStyle w:val="Normal"/>
        <w:tabs>
          <w:tab w:val="clear" w:pos="720"/>
          <w:tab w:val="left" w:pos="576" w:leader="none"/>
          <w:tab w:val="left" w:pos="900" w:leader="none"/>
        </w:tabs>
        <w:jc w:val="both"/>
        <w:rPr>
          <w:b/>
        </w:rPr>
      </w:pPr>
      <w:r>
        <w:rPr/>
        <w:t xml:space="preserve">The terms of the particular Transaction to which this Confirmation relates are as follows: </w:t>
      </w:r>
    </w:p>
    <w:p>
      <w:pPr>
        <w:pStyle w:val="Normal"/>
        <w:rPr>
          <w:b/>
        </w:rPr>
      </w:pPr>
      <w:r>
        <w:rPr>
          <w:b/>
        </w:rPr>
      </w:r>
    </w:p>
    <w:p>
      <w:pPr>
        <w:pStyle w:val="Normal"/>
        <w:numPr>
          <w:ilvl w:val="0"/>
          <w:numId w:val="0"/>
        </w:numPr>
        <w:outlineLvl w:val="0"/>
        <w:rPr>
          <w:b/>
        </w:rPr>
      </w:pPr>
      <w:r>
        <w:rPr>
          <w:b/>
        </w:rPr>
        <w:t>2.</w:t>
        <w:tab/>
        <w:t>General Terms:</w:t>
      </w:r>
    </w:p>
    <w:p>
      <w:pPr>
        <w:pStyle w:val="Normal"/>
        <w:rPr>
          <w:b/>
        </w:rPr>
      </w:pPr>
      <w:r>
        <w:rPr>
          <w:b/>
        </w:rPr>
      </w:r>
    </w:p>
    <w:p>
      <w:pPr>
        <w:pStyle w:val="Normal"/>
        <w:ind w:hanging="3600" w:start="3780" w:end="0"/>
        <w:rPr/>
      </w:pPr>
      <w:r>
        <w:rPr/>
        <w:t>Trade Date:</w:t>
        <w:tab/>
        <w:t>June 1, 2000</w:t>
      </w:r>
    </w:p>
    <w:p>
      <w:pPr>
        <w:pStyle w:val="Normal"/>
        <w:rPr/>
      </w:pPr>
      <w:r>
        <w:rPr/>
      </w:r>
    </w:p>
    <w:p>
      <w:pPr>
        <w:pStyle w:val="Normal"/>
        <w:ind w:hanging="3600" w:start="3780" w:end="0"/>
        <w:rPr/>
      </w:pPr>
      <w:r>
        <w:rPr/>
        <w:t>Effective Date:</w:t>
        <w:tab/>
        <w:t>June 1, 2000</w:t>
      </w:r>
    </w:p>
    <w:p>
      <w:pPr>
        <w:pStyle w:val="Normal"/>
        <w:rPr/>
      </w:pPr>
      <w:r>
        <w:rPr/>
      </w:r>
    </w:p>
    <w:p>
      <w:pPr>
        <w:pStyle w:val="Normal"/>
        <w:ind w:hanging="3600" w:start="3780" w:end="0"/>
        <w:rPr/>
      </w:pPr>
      <w:r>
        <w:rPr/>
        <w:t>Termination Date:</w:t>
        <w:tab/>
        <w:t>May 24, 2001</w:t>
      </w:r>
    </w:p>
    <w:p>
      <w:pPr>
        <w:pStyle w:val="Normal"/>
        <w:rPr/>
      </w:pPr>
      <w:r>
        <w:rPr/>
      </w:r>
    </w:p>
    <w:p>
      <w:pPr>
        <w:pStyle w:val="BodyTextIndent3"/>
        <w:ind w:hanging="3600" w:start="3780" w:end="0"/>
        <w:jc w:val="both"/>
        <w:rPr/>
      </w:pPr>
      <w:r>
        <w:rPr/>
        <w:t>Shares:</w:t>
        <w:tab/>
        <w:t xml:space="preserve">Common shares of Enron Corp. (the “Issuer”) (Ticker Symbol:  ENE) </w:t>
      </w:r>
    </w:p>
    <w:p>
      <w:pPr>
        <w:pStyle w:val="Normal"/>
        <w:rPr/>
      </w:pPr>
      <w:r>
        <w:rPr/>
      </w:r>
    </w:p>
    <w:p>
      <w:pPr>
        <w:pStyle w:val="Normal"/>
        <w:ind w:hanging="3600" w:start="3780" w:end="0"/>
        <w:rPr/>
      </w:pPr>
      <w:r>
        <w:rPr/>
        <w:t xml:space="preserve">Exchange: </w:t>
        <w:tab/>
        <w:t>New York Stock Exchange</w:t>
      </w:r>
    </w:p>
    <w:p>
      <w:pPr>
        <w:pStyle w:val="Normal"/>
        <w:ind w:hanging="3600" w:start="4320" w:end="0"/>
        <w:rPr/>
      </w:pPr>
      <w:r>
        <w:rPr/>
      </w:r>
    </w:p>
    <w:p>
      <w:pPr>
        <w:pStyle w:val="Normal"/>
        <w:ind w:hanging="3600" w:start="3780" w:end="0"/>
        <w:rPr/>
      </w:pPr>
      <w:r>
        <w:rPr/>
        <w:t>Related Exchange</w:t>
      </w:r>
      <w:r>
        <w:rPr>
          <w:lang w:val="en-CA" w:eastAsia="en-CA"/>
        </w:rPr>
        <w:t>(s):</w:t>
        <w:tab/>
        <w:t>Inapplicable</w:t>
      </w:r>
    </w:p>
    <w:p>
      <w:pPr>
        <w:pStyle w:val="Normal"/>
        <w:ind w:hanging="3600" w:start="4320" w:end="0"/>
        <w:rPr>
          <w:lang w:val="en-CA" w:eastAsia="en-CA"/>
        </w:rPr>
      </w:pPr>
      <w:r>
        <w:rPr>
          <w:lang w:val="en-CA" w:eastAsia="en-CA"/>
        </w:rPr>
      </w:r>
    </w:p>
    <w:p>
      <w:pPr>
        <w:pStyle w:val="Normal"/>
        <w:ind w:hanging="3600" w:start="3780" w:end="0"/>
        <w:rPr>
          <w:lang w:val="en-CA" w:eastAsia="en-CA"/>
        </w:rPr>
      </w:pPr>
      <w:r>
        <w:rPr>
          <w:lang w:val="en-CA" w:eastAsia="en-CA"/>
        </w:rPr>
        <w:t>Business Day Convention:</w:t>
        <w:tab/>
        <w:t>Modified Following</w:t>
      </w:r>
    </w:p>
    <w:p>
      <w:pPr>
        <w:pStyle w:val="Normal"/>
        <w:ind w:hanging="3600" w:start="4320" w:end="0"/>
        <w:rPr>
          <w:lang w:val="en-CA" w:eastAsia="en-CA"/>
        </w:rPr>
      </w:pPr>
      <w:r>
        <w:rPr>
          <w:lang w:val="en-CA" w:eastAsia="en-CA"/>
        </w:rPr>
      </w:r>
    </w:p>
    <w:p>
      <w:pPr>
        <w:pStyle w:val="Normal"/>
        <w:ind w:hanging="3600" w:start="3780" w:end="0"/>
        <w:rPr/>
      </w:pPr>
      <w:r>
        <w:rPr/>
        <w:t>Number of Shares:</w:t>
        <w:tab/>
        <w:t>323,000</w:t>
      </w:r>
    </w:p>
    <w:p>
      <w:pPr>
        <w:pStyle w:val="FootnoteText"/>
        <w:rPr/>
      </w:pPr>
      <w:r>
        <w:rPr/>
      </w:r>
    </w:p>
    <w:p>
      <w:pPr>
        <w:pStyle w:val="FootnoteText"/>
        <w:ind w:hanging="3600" w:start="3780" w:end="0"/>
        <w:rPr/>
      </w:pPr>
      <w:r>
        <w:rPr/>
        <w:t xml:space="preserve">Settlement Currency: </w:t>
        <w:tab/>
        <w:t>USD</w:t>
      </w:r>
    </w:p>
    <w:p>
      <w:pPr>
        <w:pStyle w:val="FootnoteText"/>
        <w:ind w:hanging="3600" w:start="3780" w:end="0"/>
        <w:rPr/>
      </w:pPr>
      <w:r>
        <w:rPr/>
      </w:r>
    </w:p>
    <w:p>
      <w:pPr>
        <w:pStyle w:val="Normal"/>
        <w:ind w:hanging="3600" w:start="3780" w:end="0"/>
        <w:rPr/>
      </w:pPr>
      <w:r>
        <w:rPr/>
        <w:t>Clearance System:</w:t>
        <w:tab/>
        <w:t>The relevant Clearance System for the shares</w:t>
      </w:r>
    </w:p>
    <w:p>
      <w:pPr>
        <w:pStyle w:val="Normal"/>
        <w:ind w:hanging="3600" w:start="3780" w:end="0"/>
        <w:rPr/>
      </w:pPr>
      <w:r>
        <w:rPr/>
      </w:r>
    </w:p>
    <w:p>
      <w:pPr>
        <w:pStyle w:val="Normal"/>
        <w:ind w:hanging="3600" w:start="4320" w:end="0"/>
        <w:rPr/>
      </w:pPr>
      <w:r>
        <w:rPr/>
        <w:tab/>
      </w:r>
    </w:p>
    <w:tbl>
      <w:tblPr>
        <w:tblW w:w="9360" w:type="dxa"/>
        <w:jc w:val="start"/>
        <w:tblInd w:w="378" w:type="dxa"/>
        <w:tblLayout w:type="fixed"/>
        <w:tblCellMar>
          <w:top w:w="0" w:type="dxa"/>
          <w:start w:w="108" w:type="dxa"/>
          <w:bottom w:w="0" w:type="dxa"/>
          <w:end w:w="108" w:type="dxa"/>
        </w:tblCellMar>
      </w:tblPr>
      <w:tblGrid>
        <w:gridCol w:w="3420"/>
        <w:gridCol w:w="5940"/>
      </w:tblGrid>
      <w:tr>
        <w:trPr/>
        <w:tc>
          <w:tcPr>
            <w:tcW w:w="3420" w:type="dxa"/>
            <w:tcBorders/>
          </w:tcPr>
          <w:p>
            <w:pPr>
              <w:pStyle w:val="gt1"/>
              <w:spacing w:before="100" w:after="0"/>
              <w:ind w:start="0" w:end="0"/>
              <w:rPr>
                <w:b/>
              </w:rPr>
            </w:pPr>
            <w:r>
              <w:rPr>
                <w:b/>
              </w:rPr>
              <w:t>Settlement Elections and Events:</w:t>
            </w:r>
          </w:p>
        </w:tc>
        <w:tc>
          <w:tcPr>
            <w:tcW w:w="5940" w:type="dxa"/>
            <w:tcBorders/>
          </w:tcPr>
          <w:p>
            <w:pPr>
              <w:pStyle w:val="Normal"/>
              <w:spacing w:before="100" w:after="0"/>
              <w:jc w:val="both"/>
              <w:rPr/>
            </w:pPr>
            <w:r>
              <w:rPr/>
              <w:t>Physical Settlement (as defined below) shall apply to this Transaction, unless Party B notifies Party A by written notice of its election of Net Share Settlement by 9:00 a.m. (local time in New York) at least 10</w:t>
            </w:r>
            <w:r>
              <w:rPr>
                <w:color w:val="FF0000"/>
              </w:rPr>
              <w:t xml:space="preserve"> </w:t>
            </w:r>
            <w:r>
              <w:rPr/>
              <w:t>Exchange Business Days prior to the Valuation Date.</w:t>
            </w:r>
          </w:p>
          <w:p>
            <w:pPr>
              <w:pStyle w:val="Footer"/>
              <w:tabs>
                <w:tab w:val="clear" w:pos="4320"/>
                <w:tab w:val="clear" w:pos="8640"/>
              </w:tabs>
              <w:spacing w:before="100" w:after="0"/>
              <w:jc w:val="both"/>
              <w:rPr/>
            </w:pPr>
            <w:r>
              <w:rPr/>
              <w:t>(i) Physical Settlement: On the Equity Payment Date, Party B shall pay to Party A an amount equal to the Equity Notional Amount, and Party A shall deliver to Party B Shares in an amount equal to the Number of Shares.</w:t>
            </w:r>
          </w:p>
        </w:tc>
      </w:tr>
      <w:tr>
        <w:trPr/>
        <w:tc>
          <w:tcPr>
            <w:tcW w:w="3420" w:type="dxa"/>
            <w:tcBorders/>
          </w:tcPr>
          <w:p>
            <w:pPr>
              <w:pStyle w:val="gt1"/>
              <w:snapToGrid w:val="false"/>
              <w:spacing w:before="100" w:after="0"/>
              <w:ind w:start="0" w:end="0"/>
              <w:rPr>
                <w:u w:val="single"/>
              </w:rPr>
            </w:pPr>
            <w:r>
              <w:rPr>
                <w:u w:val="single"/>
              </w:rPr>
            </w:r>
          </w:p>
        </w:tc>
        <w:tc>
          <w:tcPr>
            <w:tcW w:w="5940" w:type="dxa"/>
            <w:tcBorders/>
          </w:tcPr>
          <w:p>
            <w:pPr>
              <w:pStyle w:val="Normal"/>
              <w:spacing w:before="100" w:after="0"/>
              <w:jc w:val="both"/>
              <w:rPr/>
            </w:pPr>
            <w:r>
              <w:rPr/>
              <w:t>(ii) Net Share Settlement: If Party B elects Net Share Settlement, then Party B (if the Equity Amount is negative) or Party A (if the Equity Amount is positive) shall deliver a number of Shares on the Termination Date as determined by the following formula:</w:t>
            </w:r>
          </w:p>
          <w:p>
            <w:pPr>
              <w:pStyle w:val="Normal"/>
              <w:spacing w:before="100" w:after="0"/>
              <w:jc w:val="both"/>
              <w:rPr/>
            </w:pPr>
            <w:r>
              <w:rPr/>
              <w:t>[</w:t>
            </w:r>
            <w:r>
              <w:rPr/>
            </w:r>
            <m:oMath xmlns:m="http://schemas.openxmlformats.org/officeDocument/2006/math">
              <m:f>
                <m:num>
                  <m:r>
                    <m:t xml:space="preserve">s</m:t>
                  </m:r>
                </m:num>
                <m:den>
                  <m:r>
                    <m:t xml:space="preserve">p</m:t>
                  </m:r>
                </m:den>
              </m:f>
            </m:oMath>
            <w:r>
              <w:rPr/>
              <w:t xml:space="preserve"> x  Number of Shares</w:t>
            </w:r>
          </w:p>
          <w:p>
            <w:pPr>
              <w:pStyle w:val="Normal"/>
              <w:spacing w:before="100" w:after="0"/>
              <w:jc w:val="both"/>
              <w:rPr/>
            </w:pPr>
            <w:r>
              <w:rPr/>
              <w:t>Where,</w:t>
            </w:r>
          </w:p>
          <w:p>
            <w:pPr>
              <w:pStyle w:val="Normal"/>
              <w:spacing w:before="100" w:after="0"/>
              <w:jc w:val="both"/>
              <w:rPr/>
            </w:pPr>
            <w:r>
              <w:rPr>
                <w:i/>
                <w:sz w:val="24"/>
              </w:rPr>
              <w:t>s</w:t>
            </w:r>
            <w:r>
              <w:rPr/>
              <w:t xml:space="preserve"> = the Equity Amount; and </w:t>
            </w:r>
          </w:p>
          <w:p>
            <w:pPr>
              <w:pStyle w:val="Normal"/>
              <w:spacing w:before="100" w:after="0"/>
              <w:jc w:val="both"/>
              <w:rPr/>
            </w:pPr>
            <w:r>
              <w:rPr>
                <w:i/>
                <w:sz w:val="24"/>
              </w:rPr>
              <w:t>p</w:t>
            </w:r>
            <w:r>
              <w:rPr/>
              <w:t xml:space="preserve"> =  the Final Price. No fractional Shares shall be delivered in connection with Net Share Settlement, and the value of any fractional Share otherwise deliverable shall be paid in cash to Party A or Party B, as the case may be, on the Termination Date (such value to be determined by multiplying such fractional Share by the Final Price).</w:t>
            </w:r>
          </w:p>
        </w:tc>
      </w:tr>
      <w:tr>
        <w:trPr/>
        <w:tc>
          <w:tcPr>
            <w:tcW w:w="3420" w:type="dxa"/>
            <w:tcBorders/>
          </w:tcPr>
          <w:p>
            <w:pPr>
              <w:pStyle w:val="gt1"/>
              <w:snapToGrid w:val="false"/>
              <w:spacing w:before="100" w:after="0"/>
              <w:ind w:start="0" w:end="0"/>
              <w:rPr>
                <w:u w:val="single"/>
              </w:rPr>
            </w:pPr>
            <w:r>
              <w:rPr>
                <w:u w:val="single"/>
              </w:rPr>
            </w:r>
          </w:p>
        </w:tc>
        <w:tc>
          <w:tcPr>
            <w:tcW w:w="5940" w:type="dxa"/>
            <w:tcBorders/>
          </w:tcPr>
          <w:p>
            <w:pPr>
              <w:pStyle w:val="col2"/>
              <w:spacing w:lineRule="auto" w:line="240" w:before="100" w:after="0"/>
              <w:rPr/>
            </w:pPr>
            <w:r>
              <w:rPr/>
              <w:t>The number of Shares that may be issued at settlement by Party B will be limited to the total Shares authorized but not outstanding, reduced by the total amount of contingently issuable Shares. In any event, the number of Shares issuable by Party B at settlement shall not 1,130,500 Shares</w:t>
            </w:r>
          </w:p>
        </w:tc>
      </w:tr>
      <w:tr>
        <w:trPr/>
        <w:tc>
          <w:tcPr>
            <w:tcW w:w="3420" w:type="dxa"/>
            <w:tcBorders/>
          </w:tcPr>
          <w:p>
            <w:pPr>
              <w:pStyle w:val="Normal"/>
              <w:spacing w:before="100" w:after="0"/>
              <w:ind w:firstLine="342" w:end="0"/>
              <w:rPr>
                <w:b/>
              </w:rPr>
            </w:pPr>
            <w:r>
              <w:rPr/>
              <w:t>Price Trigger Settlement:</w:t>
            </w:r>
          </w:p>
        </w:tc>
        <w:tc>
          <w:tcPr>
            <w:tcW w:w="5940" w:type="dxa"/>
            <w:tcBorders/>
          </w:tcPr>
          <w:p>
            <w:pPr>
              <w:pStyle w:val="Normal"/>
              <w:spacing w:before="100" w:after="0"/>
              <w:jc w:val="both"/>
              <w:rPr/>
            </w:pPr>
            <w:r>
              <w:rPr/>
              <w:t xml:space="preserve">Upon the occurrence and continuation of a Price Trigger Event, Party A shall be entitled to terminate or cause settlement of this Transaction with respect to all or a portion of the Shares. Party A's partial exercise of such right in connection with a Price Trigger Event shall not preclude later exercises with respect to the remaining portion of Shares. </w:t>
            </w:r>
          </w:p>
          <w:p>
            <w:pPr>
              <w:pStyle w:val="Normal"/>
              <w:spacing w:before="100" w:after="0"/>
              <w:jc w:val="both"/>
              <w:rPr/>
            </w:pPr>
            <w:r>
              <w:rPr/>
              <w:t>If Party A elects to settle this Transaction as a result of a Price Trigger Event, it shall notify Party B (a "Price Trigger Notice") of (i) the number of Shares subject to such Price Trigger Settlement and (ii) the Price Trigger Settlement Date (the "Exercise Date"). Physical Settlement shall apply, unless Party B notifies Party A by written notice of its election of Net Share Settlement within one (1) Business Day of the effective date of the Price Trigger Notice.</w:t>
            </w:r>
          </w:p>
          <w:p>
            <w:pPr>
              <w:pStyle w:val="Normal"/>
              <w:spacing w:before="100" w:after="0"/>
              <w:jc w:val="both"/>
              <w:rPr>
                <w:b/>
              </w:rPr>
            </w:pPr>
            <w:r>
              <w:rPr/>
              <w:t>If Party A elects to terminate this Transaction, the Price Trigger Event shall constitute an Additional Termination Event with respect to Party B and Party B shall be the Affected Party.  "Price Trigger Event" means the closing price of a Share on the Exchange is $50.00 per Share or lower for 3 consecutive Exchange Business Days.</w:t>
            </w:r>
          </w:p>
        </w:tc>
      </w:tr>
      <w:tr>
        <w:trPr/>
        <w:tc>
          <w:tcPr>
            <w:tcW w:w="3420" w:type="dxa"/>
            <w:tcBorders/>
          </w:tcPr>
          <w:p>
            <w:pPr>
              <w:pStyle w:val="gt1"/>
              <w:spacing w:before="100" w:after="0"/>
              <w:ind w:start="0" w:end="0"/>
              <w:rPr>
                <w:u w:val="single"/>
              </w:rPr>
            </w:pPr>
            <w:r>
              <w:rPr>
                <w:u w:val="single"/>
              </w:rPr>
              <w:t>Equity Amounts payable by Party B:</w:t>
            </w:r>
          </w:p>
        </w:tc>
        <w:tc>
          <w:tcPr>
            <w:tcW w:w="5940" w:type="dxa"/>
            <w:tcBorders/>
          </w:tcPr>
          <w:p>
            <w:pPr>
              <w:pStyle w:val="col2"/>
              <w:snapToGrid w:val="false"/>
              <w:spacing w:lineRule="auto" w:line="240" w:before="100" w:after="0"/>
              <w:rPr>
                <w:u w:val="single"/>
              </w:rPr>
            </w:pPr>
            <w:r>
              <w:rPr>
                <w:u w:val="single"/>
              </w:rPr>
            </w:r>
          </w:p>
        </w:tc>
      </w:tr>
      <w:tr>
        <w:trPr/>
        <w:tc>
          <w:tcPr>
            <w:tcW w:w="3420" w:type="dxa"/>
            <w:tcBorders/>
          </w:tcPr>
          <w:p>
            <w:pPr>
              <w:pStyle w:val="gt1"/>
              <w:spacing w:before="100" w:after="0"/>
              <w:ind w:start="0" w:end="0"/>
              <w:rPr/>
            </w:pPr>
            <w:r>
              <w:rPr/>
              <w:t xml:space="preserve">Equity Amount Payer:                      </w:t>
            </w:r>
          </w:p>
        </w:tc>
        <w:tc>
          <w:tcPr>
            <w:tcW w:w="5940" w:type="dxa"/>
            <w:tcBorders/>
          </w:tcPr>
          <w:p>
            <w:pPr>
              <w:pStyle w:val="col2"/>
              <w:spacing w:lineRule="auto" w:line="240" w:before="100" w:after="0"/>
              <w:rPr/>
            </w:pPr>
            <w:r>
              <w:rPr/>
              <w:t>Party B</w:t>
            </w:r>
          </w:p>
        </w:tc>
      </w:tr>
      <w:tr>
        <w:trPr/>
        <w:tc>
          <w:tcPr>
            <w:tcW w:w="3420" w:type="dxa"/>
            <w:tcBorders/>
          </w:tcPr>
          <w:p>
            <w:pPr>
              <w:pStyle w:val="Normal"/>
              <w:spacing w:before="100" w:after="0"/>
              <w:ind w:hanging="540" w:start="540" w:end="0"/>
              <w:rPr/>
            </w:pPr>
            <w:r>
              <w:rPr/>
              <w:t>Equity Notional Amount:</w:t>
            </w:r>
          </w:p>
        </w:tc>
        <w:tc>
          <w:tcPr>
            <w:tcW w:w="5940" w:type="dxa"/>
            <w:tcBorders/>
          </w:tcPr>
          <w:p>
            <w:pPr>
              <w:pStyle w:val="Normal"/>
              <w:spacing w:before="100" w:after="0"/>
              <w:jc w:val="both"/>
              <w:rPr/>
            </w:pPr>
            <w:r>
              <w:rPr/>
              <w:t xml:space="preserve">Number of Shares </w:t>
            </w:r>
            <w:r>
              <w:rPr>
                <w:i/>
              </w:rPr>
              <w:t>multiplied</w:t>
            </w:r>
            <w:r>
              <w:rPr/>
              <w:t xml:space="preserve"> by Initial Price</w:t>
            </w:r>
          </w:p>
        </w:tc>
      </w:tr>
      <w:tr>
        <w:trPr/>
        <w:tc>
          <w:tcPr>
            <w:tcW w:w="3420" w:type="dxa"/>
            <w:tcBorders/>
          </w:tcPr>
          <w:p>
            <w:pPr>
              <w:pStyle w:val="Normal"/>
              <w:spacing w:before="100" w:after="0"/>
              <w:ind w:hanging="540" w:start="540" w:end="0"/>
              <w:rPr/>
            </w:pPr>
            <w:r>
              <w:rPr/>
              <w:t>Equity Notional Reset:</w:t>
            </w:r>
          </w:p>
        </w:tc>
        <w:tc>
          <w:tcPr>
            <w:tcW w:w="5940" w:type="dxa"/>
            <w:tcBorders/>
          </w:tcPr>
          <w:p>
            <w:pPr>
              <w:pStyle w:val="Normal"/>
              <w:spacing w:before="100" w:after="0"/>
              <w:jc w:val="both"/>
              <w:rPr/>
            </w:pPr>
            <w:r>
              <w:rPr/>
              <w:t>Inapplicable</w:t>
            </w:r>
          </w:p>
        </w:tc>
      </w:tr>
      <w:tr>
        <w:trPr/>
        <w:tc>
          <w:tcPr>
            <w:tcW w:w="3420" w:type="dxa"/>
            <w:tcBorders/>
          </w:tcPr>
          <w:p>
            <w:pPr>
              <w:pStyle w:val="Normal"/>
              <w:spacing w:before="100" w:after="0"/>
              <w:ind w:hanging="540" w:start="540" w:end="0"/>
              <w:rPr/>
            </w:pPr>
            <w:r>
              <w:rPr/>
              <w:t>Equity Payment Date:</w:t>
            </w:r>
          </w:p>
        </w:tc>
        <w:tc>
          <w:tcPr>
            <w:tcW w:w="5940" w:type="dxa"/>
            <w:tcBorders/>
          </w:tcPr>
          <w:p>
            <w:pPr>
              <w:pStyle w:val="col2"/>
              <w:spacing w:lineRule="auto" w:line="240" w:before="100" w:after="0"/>
              <w:rPr/>
            </w:pPr>
            <w:r>
              <w:rPr/>
              <w:t xml:space="preserve">The Termination Date </w:t>
            </w:r>
          </w:p>
        </w:tc>
      </w:tr>
      <w:tr>
        <w:trPr/>
        <w:tc>
          <w:tcPr>
            <w:tcW w:w="3420" w:type="dxa"/>
            <w:tcBorders/>
          </w:tcPr>
          <w:p>
            <w:pPr>
              <w:pStyle w:val="gt1"/>
              <w:spacing w:lineRule="auto" w:line="240" w:before="100" w:after="0"/>
              <w:ind w:start="0" w:end="0"/>
              <w:jc w:val="start"/>
              <w:rPr/>
            </w:pPr>
            <w:r>
              <w:rPr/>
              <w:t>Type of Return:</w:t>
            </w:r>
          </w:p>
        </w:tc>
        <w:tc>
          <w:tcPr>
            <w:tcW w:w="5940" w:type="dxa"/>
            <w:tcBorders/>
          </w:tcPr>
          <w:p>
            <w:pPr>
              <w:pStyle w:val="Normal"/>
              <w:spacing w:before="100" w:after="0"/>
              <w:jc w:val="both"/>
              <w:rPr/>
            </w:pPr>
            <w:r>
              <w:rPr/>
              <w:t>Price Return</w:t>
            </w:r>
          </w:p>
        </w:tc>
      </w:tr>
      <w:tr>
        <w:trPr/>
        <w:tc>
          <w:tcPr>
            <w:tcW w:w="3420" w:type="dxa"/>
            <w:tcBorders/>
          </w:tcPr>
          <w:p>
            <w:pPr>
              <w:pStyle w:val="Normal"/>
              <w:spacing w:before="100" w:after="0"/>
              <w:rPr/>
            </w:pPr>
            <w:r>
              <w:rPr/>
              <w:t>Initial Price:</w:t>
            </w:r>
          </w:p>
        </w:tc>
        <w:tc>
          <w:tcPr>
            <w:tcW w:w="5940" w:type="dxa"/>
            <w:tcBorders/>
          </w:tcPr>
          <w:p>
            <w:pPr>
              <w:pStyle w:val="Normal"/>
              <w:spacing w:before="100" w:after="0"/>
              <w:jc w:val="both"/>
              <w:rPr/>
            </w:pPr>
            <w:r>
              <w:rPr/>
              <w:t>USD 79.415</w:t>
            </w:r>
          </w:p>
          <w:p>
            <w:pPr>
              <w:pStyle w:val="Normal"/>
              <w:spacing w:before="100" w:after="0"/>
              <w:jc w:val="both"/>
              <w:rPr/>
            </w:pPr>
            <w:r>
              <w:rPr/>
            </w:r>
          </w:p>
        </w:tc>
      </w:tr>
      <w:tr>
        <w:trPr/>
        <w:tc>
          <w:tcPr>
            <w:tcW w:w="3420" w:type="dxa"/>
            <w:tcBorders/>
          </w:tcPr>
          <w:p>
            <w:pPr>
              <w:pStyle w:val="gt1"/>
              <w:spacing w:before="0" w:after="100"/>
              <w:ind w:start="0" w:end="0"/>
              <w:rPr/>
            </w:pPr>
            <w:r>
              <w:rPr/>
              <w:t>Dividends:</w:t>
            </w:r>
          </w:p>
          <w:p>
            <w:pPr>
              <w:pStyle w:val="gt1"/>
              <w:spacing w:before="0" w:after="100"/>
              <w:ind w:start="360" w:end="0"/>
              <w:rPr/>
            </w:pPr>
            <w:r>
              <w:rPr/>
            </w:r>
          </w:p>
        </w:tc>
        <w:tc>
          <w:tcPr>
            <w:tcW w:w="5940" w:type="dxa"/>
            <w:tcBorders/>
          </w:tcPr>
          <w:p>
            <w:pPr>
              <w:pStyle w:val="HeadingConfirm"/>
              <w:tabs>
                <w:tab w:val="clear" w:pos="576"/>
                <w:tab w:val="clear" w:pos="900"/>
              </w:tabs>
              <w:spacing w:before="0" w:after="0"/>
              <w:rPr/>
            </w:pPr>
            <w:r>
              <w:rPr/>
              <w:t>If, at any time during the period from but excluding the Effective Date to and including the Termination Date, an ex-dividend date occurs with respect to the Shares, then the cash dividend amount per Share corresponding to that ex-dividend date.</w:t>
            </w:r>
          </w:p>
        </w:tc>
      </w:tr>
      <w:tr>
        <w:trPr/>
        <w:tc>
          <w:tcPr>
            <w:tcW w:w="3420" w:type="dxa"/>
            <w:tcBorders/>
          </w:tcPr>
          <w:p>
            <w:pPr>
              <w:pStyle w:val="BlockText"/>
              <w:spacing w:before="100" w:after="0"/>
              <w:ind w:start="0" w:end="605"/>
              <w:jc w:val="start"/>
              <w:rPr/>
            </w:pPr>
            <w:r>
              <w:rPr/>
              <w:t>Final Price:</w:t>
            </w:r>
          </w:p>
        </w:tc>
        <w:tc>
          <w:tcPr>
            <w:tcW w:w="5940" w:type="dxa"/>
            <w:tcBorders/>
          </w:tcPr>
          <w:p>
            <w:pPr>
              <w:pStyle w:val="HeadingConfirm"/>
              <w:tabs>
                <w:tab w:val="clear" w:pos="576"/>
                <w:tab w:val="clear" w:pos="900"/>
              </w:tabs>
              <w:spacing w:before="100" w:after="0"/>
              <w:rPr/>
            </w:pPr>
            <w:r>
              <w:rPr/>
              <w:t>The average execution price per Share at which Party A executes the unwind of its hedge hereunder, provided that if Party B does not comply with any aspect of the Registration Provisions, then the Final Price shall mean the price determined by Party A in a commercially reasonable manner.</w:t>
            </w:r>
          </w:p>
        </w:tc>
      </w:tr>
      <w:tr>
        <w:trPr/>
        <w:tc>
          <w:tcPr>
            <w:tcW w:w="3420" w:type="dxa"/>
            <w:tcBorders/>
          </w:tcPr>
          <w:p>
            <w:pPr>
              <w:pStyle w:val="BlockText"/>
              <w:spacing w:before="100" w:after="0"/>
              <w:ind w:start="0" w:end="605"/>
              <w:jc w:val="start"/>
              <w:rPr/>
            </w:pPr>
            <w:r>
              <w:rPr/>
              <w:t>Valuation Time:</w:t>
            </w:r>
          </w:p>
        </w:tc>
        <w:tc>
          <w:tcPr>
            <w:tcW w:w="5940" w:type="dxa"/>
            <w:tcBorders/>
          </w:tcPr>
          <w:p>
            <w:pPr>
              <w:pStyle w:val="Normal"/>
              <w:spacing w:before="100" w:after="0"/>
              <w:jc w:val="both"/>
              <w:rPr/>
            </w:pPr>
            <w:r>
              <w:rPr/>
              <w:t>The time at which Party A completes the unwind of its hedge hereunder.</w:t>
            </w:r>
          </w:p>
        </w:tc>
      </w:tr>
      <w:tr>
        <w:trPr/>
        <w:tc>
          <w:tcPr>
            <w:tcW w:w="3420" w:type="dxa"/>
            <w:tcBorders/>
          </w:tcPr>
          <w:p>
            <w:pPr>
              <w:pStyle w:val="BlockText"/>
              <w:spacing w:before="100" w:after="0"/>
              <w:ind w:start="0" w:end="605"/>
              <w:jc w:val="start"/>
              <w:rPr/>
            </w:pPr>
            <w:r>
              <w:rPr/>
              <w:t>Valuation Date:</w:t>
            </w:r>
          </w:p>
        </w:tc>
        <w:tc>
          <w:tcPr>
            <w:tcW w:w="5940" w:type="dxa"/>
            <w:tcBorders/>
          </w:tcPr>
          <w:p>
            <w:pPr>
              <w:pStyle w:val="HeadingConfirm"/>
              <w:tabs>
                <w:tab w:val="clear" w:pos="576"/>
                <w:tab w:val="clear" w:pos="900"/>
              </w:tabs>
              <w:spacing w:before="100" w:after="0"/>
              <w:rPr/>
            </w:pPr>
            <w:r>
              <w:rPr/>
              <w:t xml:space="preserve">Three (3) Exchange Business Days prior to the Equity Payment Date </w:t>
            </w:r>
          </w:p>
        </w:tc>
      </w:tr>
      <w:tr>
        <w:trPr/>
        <w:tc>
          <w:tcPr>
            <w:tcW w:w="9360" w:type="dxa"/>
            <w:gridSpan w:val="2"/>
            <w:tcBorders/>
          </w:tcPr>
          <w:p>
            <w:pPr>
              <w:pStyle w:val="Normal"/>
              <w:snapToGrid w:val="false"/>
              <w:spacing w:before="100" w:after="0"/>
              <w:jc w:val="both"/>
              <w:rPr>
                <w:b/>
              </w:rPr>
            </w:pPr>
            <w:r>
              <w:rPr>
                <w:b/>
              </w:rPr>
            </w:r>
          </w:p>
          <w:p>
            <w:pPr>
              <w:pStyle w:val="Normal"/>
              <w:spacing w:before="100" w:after="0"/>
              <w:jc w:val="both"/>
              <w:rPr>
                <w:b/>
              </w:rPr>
            </w:pPr>
            <w:r>
              <w:rPr>
                <w:b/>
              </w:rPr>
              <w:t>Both parties agree that no Floating Amount(s) shall be payable by Party B to Party A for this Transaction.</w:t>
            </w:r>
          </w:p>
        </w:tc>
      </w:tr>
      <w:tr>
        <w:trPr/>
        <w:tc>
          <w:tcPr>
            <w:tcW w:w="3420" w:type="dxa"/>
            <w:tcBorders/>
          </w:tcPr>
          <w:p>
            <w:pPr>
              <w:pStyle w:val="Normal"/>
              <w:spacing w:before="100" w:after="0"/>
              <w:rPr>
                <w:b/>
              </w:rPr>
            </w:pPr>
            <w:r>
              <w:rPr>
                <w:b/>
              </w:rPr>
              <w:t>Adjustments:</w:t>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00" w:after="0"/>
              <w:ind w:start="360" w:end="0"/>
              <w:rPr>
                <w:b/>
              </w:rPr>
            </w:pPr>
            <w:r>
              <w:rPr/>
              <w:t>Method of Adjustment:</w:t>
            </w:r>
          </w:p>
        </w:tc>
        <w:tc>
          <w:tcPr>
            <w:tcW w:w="5940" w:type="dxa"/>
            <w:tcBorders/>
          </w:tcPr>
          <w:p>
            <w:pPr>
              <w:pStyle w:val="Normal"/>
              <w:spacing w:before="100" w:after="0"/>
              <w:jc w:val="both"/>
              <w:rPr/>
            </w:pPr>
            <w:r>
              <w:rPr/>
              <w:t>Calculation Agent Adjustment</w:t>
            </w:r>
          </w:p>
        </w:tc>
      </w:tr>
      <w:tr>
        <w:trPr/>
        <w:tc>
          <w:tcPr>
            <w:tcW w:w="3420" w:type="dxa"/>
            <w:tcBorders/>
          </w:tcPr>
          <w:p>
            <w:pPr>
              <w:pStyle w:val="Normal"/>
              <w:spacing w:before="100" w:after="0"/>
              <w:rPr>
                <w:b/>
              </w:rPr>
            </w:pPr>
            <w:r>
              <w:rPr>
                <w:b/>
              </w:rPr>
              <w:t>Extraordinary Events:</w:t>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00" w:after="0"/>
              <w:rPr/>
            </w:pPr>
            <w:r>
              <w:rPr/>
              <w:t>Consequences of Merger Events:</w:t>
            </w:r>
          </w:p>
        </w:tc>
        <w:tc>
          <w:tcPr>
            <w:tcW w:w="5940" w:type="dxa"/>
            <w:tcBorders/>
          </w:tcPr>
          <w:p>
            <w:pPr>
              <w:pStyle w:val="Normal"/>
              <w:snapToGrid w:val="false"/>
              <w:spacing w:before="100" w:after="0"/>
              <w:jc w:val="both"/>
              <w:rPr/>
            </w:pPr>
            <w:r>
              <w:rPr/>
            </w:r>
          </w:p>
        </w:tc>
      </w:tr>
      <w:tr>
        <w:trPr/>
        <w:tc>
          <w:tcPr>
            <w:tcW w:w="3420" w:type="dxa"/>
            <w:tcBorders/>
          </w:tcPr>
          <w:p>
            <w:pPr>
              <w:pStyle w:val="Normal"/>
              <w:spacing w:before="100" w:after="0"/>
              <w:ind w:start="360" w:end="0"/>
              <w:rPr/>
            </w:pPr>
            <w:r>
              <w:rPr/>
              <w:t>(a)  Share-for-Share:</w:t>
            </w:r>
          </w:p>
        </w:tc>
        <w:tc>
          <w:tcPr>
            <w:tcW w:w="5940" w:type="dxa"/>
            <w:tcBorders/>
          </w:tcPr>
          <w:p>
            <w:pPr>
              <w:pStyle w:val="Normal"/>
              <w:spacing w:before="100" w:after="0"/>
              <w:jc w:val="both"/>
              <w:rPr/>
            </w:pPr>
            <w:r>
              <w:rPr/>
              <w:t xml:space="preserve">Alternative Obligation </w:t>
            </w:r>
          </w:p>
        </w:tc>
      </w:tr>
      <w:tr>
        <w:trPr/>
        <w:tc>
          <w:tcPr>
            <w:tcW w:w="3420" w:type="dxa"/>
            <w:tcBorders/>
          </w:tcPr>
          <w:p>
            <w:pPr>
              <w:pStyle w:val="Normal"/>
              <w:spacing w:before="100" w:after="0"/>
              <w:ind w:start="360" w:end="0"/>
              <w:rPr/>
            </w:pPr>
            <w:r>
              <w:rPr/>
              <w:t>(b)  Share-for-Other:</w:t>
            </w:r>
          </w:p>
        </w:tc>
        <w:tc>
          <w:tcPr>
            <w:tcW w:w="5940" w:type="dxa"/>
            <w:tcBorders/>
          </w:tcPr>
          <w:p>
            <w:pPr>
              <w:pStyle w:val="Normal"/>
              <w:spacing w:before="100" w:after="0"/>
              <w:jc w:val="both"/>
              <w:rPr/>
            </w:pPr>
            <w:r>
              <w:rPr/>
              <w:t xml:space="preserve">Alternative Obligation </w:t>
            </w:r>
          </w:p>
        </w:tc>
      </w:tr>
      <w:tr>
        <w:trPr/>
        <w:tc>
          <w:tcPr>
            <w:tcW w:w="3420" w:type="dxa"/>
            <w:tcBorders/>
          </w:tcPr>
          <w:p>
            <w:pPr>
              <w:pStyle w:val="Normal"/>
              <w:spacing w:before="100" w:after="0"/>
              <w:ind w:start="360" w:end="0"/>
              <w:rPr/>
            </w:pPr>
            <w:r>
              <w:rPr/>
              <w:t>(c)  Share-for-Combined:</w:t>
            </w:r>
          </w:p>
        </w:tc>
        <w:tc>
          <w:tcPr>
            <w:tcW w:w="5940" w:type="dxa"/>
            <w:tcBorders/>
          </w:tcPr>
          <w:p>
            <w:pPr>
              <w:pStyle w:val="Normal"/>
              <w:spacing w:before="100" w:after="0"/>
              <w:jc w:val="both"/>
              <w:rPr/>
            </w:pPr>
            <w:r>
              <w:rPr/>
              <w:t>Alternative Obligation</w:t>
            </w:r>
          </w:p>
        </w:tc>
      </w:tr>
      <w:tr>
        <w:trPr/>
        <w:tc>
          <w:tcPr>
            <w:tcW w:w="3420" w:type="dxa"/>
            <w:tcBorders/>
          </w:tcPr>
          <w:p>
            <w:pPr>
              <w:pStyle w:val="Normal"/>
              <w:spacing w:before="100" w:after="0"/>
              <w:rPr>
                <w:b/>
              </w:rPr>
            </w:pPr>
            <w:r>
              <w:rPr>
                <w:b/>
              </w:rPr>
              <w:t>Nationalization or Insolvency:</w:t>
            </w:r>
          </w:p>
        </w:tc>
        <w:tc>
          <w:tcPr>
            <w:tcW w:w="5940" w:type="dxa"/>
            <w:tcBorders/>
          </w:tcPr>
          <w:p>
            <w:pPr>
              <w:pStyle w:val="Normal"/>
              <w:spacing w:before="100" w:after="0"/>
              <w:jc w:val="both"/>
              <w:rPr>
                <w:color w:val="FF0000"/>
              </w:rPr>
            </w:pPr>
            <w:r>
              <w:rPr/>
              <w:t>Cancellation and Payment, provided that payment terms and provisions shall occur as specified in the Early Termination section of this Confirmation.</w:t>
            </w:r>
          </w:p>
        </w:tc>
      </w:tr>
      <w:tr>
        <w:trPr/>
        <w:tc>
          <w:tcPr>
            <w:tcW w:w="3420" w:type="dxa"/>
            <w:tcBorders/>
          </w:tcPr>
          <w:p>
            <w:pPr>
              <w:pStyle w:val="Normal"/>
              <w:spacing w:before="100" w:after="0"/>
              <w:rPr>
                <w:b/>
              </w:rPr>
            </w:pPr>
            <w:r>
              <w:rPr>
                <w:b/>
              </w:rPr>
              <w:t>Other Provisions:</w:t>
            </w:r>
          </w:p>
          <w:p>
            <w:pPr>
              <w:pStyle w:val="Normal"/>
              <w:spacing w:before="100" w:after="0"/>
              <w:rPr>
                <w:b/>
              </w:rPr>
            </w:pPr>
            <w:r>
              <w:rPr>
                <w:b/>
              </w:rPr>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20" w:after="0"/>
              <w:ind w:start="360" w:end="0"/>
              <w:rPr/>
            </w:pPr>
            <w:r>
              <w:rPr/>
              <w:t>Party B Representations:</w:t>
            </w:r>
          </w:p>
        </w:tc>
        <w:tc>
          <w:tcPr>
            <w:tcW w:w="5940" w:type="dxa"/>
            <w:tcBorders/>
          </w:tcPr>
          <w:p>
            <w:pPr>
              <w:pStyle w:val="BodyText3"/>
              <w:spacing w:before="100" w:after="0"/>
              <w:rPr>
                <w:color w:val="000000"/>
              </w:rPr>
            </w:pPr>
            <w:r>
              <w:rPr>
                <w:color w:val="000000"/>
              </w:rPr>
              <w:t>Each of its required filings under all applicable securities laws have been filed and, as of the respective dates thereof, there is no misstatement of material fact contained therein or omission of a material fact required to be stated therein or necessary to make the statements therein not misleading. It is not entering into this Transaction while in possession of material non-public information concerning the business, operations or prospects of the Issuer.</w:t>
            </w:r>
          </w:p>
          <w:p>
            <w:pPr>
              <w:pStyle w:val="Normal"/>
              <w:spacing w:before="100" w:after="0"/>
              <w:jc w:val="both"/>
              <w:rPr/>
            </w:pPr>
            <w:r>
              <w:rPr/>
              <w:t>It is not entering into this Transaction to create actual or apparent trading activity in the Shares (or any security convertible into or exchangeable for Shares), to manipulate the price of the Shares (or any security convertible into or exchangeable for Shares) or to facilitate a distribution of Shares (or any security convertible into or exchangeable for Shares).</w:t>
            </w:r>
          </w:p>
          <w:p>
            <w:pPr>
              <w:pStyle w:val="Normal"/>
              <w:spacing w:before="100" w:after="0"/>
              <w:jc w:val="both"/>
              <w:rPr/>
            </w:pPr>
            <w:r>
              <w:rPr/>
              <w:t>It has not entered into any obligation that would contractually limit it from effecting Physical Settlement or Net Share Settlement under this Transaction and it agrees not to enter into any such obligation during the term of this Transaction.</w:t>
            </w:r>
          </w:p>
          <w:p>
            <w:pPr>
              <w:pStyle w:val="Normal"/>
              <w:spacing w:before="100" w:after="0"/>
              <w:jc w:val="both"/>
              <w:rPr/>
            </w:pPr>
            <w:r>
              <w:rPr/>
            </w:r>
          </w:p>
        </w:tc>
      </w:tr>
      <w:tr>
        <w:trPr/>
        <w:tc>
          <w:tcPr>
            <w:tcW w:w="3420" w:type="dxa"/>
            <w:tcBorders/>
          </w:tcPr>
          <w:p>
            <w:pPr>
              <w:pStyle w:val="Normal"/>
              <w:spacing w:before="120" w:after="0"/>
              <w:ind w:start="360" w:end="0"/>
              <w:rPr/>
            </w:pPr>
            <w:r>
              <w:rPr/>
              <w:t>Additional Representations:</w:t>
            </w:r>
          </w:p>
        </w:tc>
        <w:tc>
          <w:tcPr>
            <w:tcW w:w="5940" w:type="dxa"/>
            <w:tcBorders/>
          </w:tcPr>
          <w:p>
            <w:pPr>
              <w:pStyle w:val="HeadingConfirm"/>
              <w:tabs>
                <w:tab w:val="clear" w:pos="576"/>
                <w:tab w:val="clear" w:pos="900"/>
              </w:tabs>
              <w:spacing w:before="120" w:after="100"/>
              <w:rPr/>
            </w:pPr>
            <w:r>
              <w:rPr/>
              <w:t>It is the intent of the parties that this Transaction does not give Party A any of the rights that rank senior to a common shareholder of Enron Corp.</w:t>
            </w:r>
          </w:p>
        </w:tc>
      </w:tr>
      <w:tr>
        <w:trPr/>
        <w:tc>
          <w:tcPr>
            <w:tcW w:w="3420" w:type="dxa"/>
            <w:tcBorders/>
          </w:tcPr>
          <w:p>
            <w:pPr>
              <w:pStyle w:val="Normal"/>
              <w:spacing w:before="100" w:after="0"/>
              <w:ind w:start="360" w:end="0"/>
              <w:rPr/>
            </w:pPr>
            <w:r>
              <w:rPr/>
              <w:t>Registration Provisions:</w:t>
            </w:r>
          </w:p>
        </w:tc>
        <w:tc>
          <w:tcPr>
            <w:tcW w:w="5940" w:type="dxa"/>
            <w:tcBorders/>
          </w:tcPr>
          <w:p>
            <w:pPr>
              <w:pStyle w:val="Normal"/>
              <w:spacing w:before="120" w:after="0"/>
              <w:ind w:hanging="18" w:end="0"/>
              <w:jc w:val="both"/>
              <w:rPr/>
            </w:pPr>
            <w:r>
              <w:rPr/>
              <w:t xml:space="preserve">If Party A purchases securities of Party B to hedge Party A’s risks relating to this equity derivatives transaction and resells those securities to a person or persons other than Party B, at the time of such resales Party B shall make a registration statement available to Party A, at the request of Party A, for the registration of such resales, which registration statement shall be effective at all times from and including the date that is one Exchange Business Day prior to the Valuation Date to and including the date that Party A or its affiliate(s) has fully and finally unwound its hedge hereunder, and Party A and Party B shall enter into an agreement on reasonable and customary underwriting terms including but not limited to indemnification and contribution and due diligence (the “Underwriting Agreement”) provided that Party B will not be required to make such registration statement available or enter into the Underwriting Agreement if, in the unqualified written opinion of counsel for Party B reasonably acceptable to Party A, no registration under the Securities Act of 1933 is required for such resales. </w:t>
            </w:r>
          </w:p>
          <w:p>
            <w:pPr>
              <w:pStyle w:val="BodyTextIndent"/>
              <w:ind w:start="0" w:end="0"/>
              <w:rPr/>
            </w:pPr>
            <w:r>
              <w:rPr/>
              <w:t>If, at the time of any such resales, Party B has received such an opinion of counsel, such opinion shall be provided to Party A and shall state that Party A is entitled to rely thereon; Party B shall indemnify Party A from any liabilities, costs and expenses incurred by Party A in effecting such resales without registration in reliance on such opinion.</w:t>
            </w:r>
          </w:p>
          <w:p>
            <w:pPr>
              <w:pStyle w:val="BodyTextIndent"/>
              <w:ind w:start="0" w:end="0"/>
              <w:rPr/>
            </w:pPr>
            <w:r>
              <w:rPr/>
              <w:t>If, as a result of Party B’s election to net share settle this equity derivatives transaction, Party B issues securities to Party A, Party B shall either (i) make a registration statement available to Party A for the registration of resales of such securities, which registration statement shall be effective at all times from and including the date that is one Exchange Business Day prior to the Valuation Date to and including the date that Party A or its affiliate(s) have fully and finally sold such securities, and Party A and Party B shall enter into the Underwriting Agreement or (ii) issue the shares pursuant to an exemption from the registration requirements of the Securities Act of 1933.</w:t>
            </w:r>
          </w:p>
          <w:p>
            <w:pPr>
              <w:pStyle w:val="BodyText3"/>
              <w:rPr>
                <w:color w:val="000000"/>
              </w:rPr>
            </w:pPr>
            <w:r>
              <w:rPr>
                <w:color w:val="000000"/>
              </w:rPr>
              <w:t>Party B represents that any registration statement (“Registration Statement”) it files pursuant to Rule 415 under the Securities Act of 1933, as amended, and any prospectus delivered to Party A in connection with sales made under the Registration Statement (as such prospectus may be supplemented from time to time) will each not include an untrue statement of a material fact or omit to state a material fact necessary in order to make the statements therein, in light of the circumstances under which they were made, not misleading.</w:t>
            </w:r>
          </w:p>
          <w:p>
            <w:pPr>
              <w:pStyle w:val="BodyTextIndent"/>
              <w:ind w:start="0" w:end="0"/>
              <w:rPr/>
            </w:pPr>
            <w:r>
              <w:rPr/>
              <w:t>Notwithstanding the foregoing, if Party B elects net-share settlement of this Transaction and fails to comply with any aspect of the Registration Provisions, the Final Price shall be equal to the price determined by Party A in a commercially reasonable manner.  Also, Party B acknowledges and agrees that if it issues securities to Party A which are not registered, the number of shares to be delivered shall be greater than the number of shares that would be delivered if registration had occurred.</w:t>
            </w:r>
          </w:p>
        </w:tc>
      </w:tr>
      <w:tr>
        <w:trPr/>
        <w:tc>
          <w:tcPr>
            <w:tcW w:w="3420" w:type="dxa"/>
            <w:tcBorders/>
          </w:tcPr>
          <w:p>
            <w:pPr>
              <w:pStyle w:val="Normal"/>
              <w:spacing w:before="100" w:after="0"/>
              <w:ind w:start="360" w:end="0"/>
              <w:rPr/>
            </w:pPr>
            <w:r>
              <w:rPr/>
              <w:t>Early Termination:</w:t>
            </w:r>
          </w:p>
        </w:tc>
        <w:tc>
          <w:tcPr>
            <w:tcW w:w="5940" w:type="dxa"/>
            <w:tcBorders/>
          </w:tcPr>
          <w:p>
            <w:pPr>
              <w:pStyle w:val="Normal"/>
              <w:spacing w:before="100" w:after="0"/>
              <w:jc w:val="both"/>
              <w:rPr/>
            </w:pPr>
            <w:r>
              <w:rPr/>
              <w:t>The parties agree that for purposes of Section 6(e) of the ISDA Agreement, Second Method and Loss will apply to this Transaction. Notwithstanding any provision to the contrary, upon the designation of an Early Termination Date hereunder, a party's payment obligation in respect of this Terminated Transaction only as determined in accordance with Second Method and Loss (the "</w:t>
            </w:r>
            <w:r>
              <w:rPr>
                <w:b/>
              </w:rPr>
              <w:t>Transaction Early Termination Amount</w:t>
            </w:r>
            <w:r>
              <w:rPr/>
              <w:t>") may, at the option of Party B, be satisfied by the party owing such amount by the delivery of a number of Shares equal to the Transaction Early Termination Amount divided by the Termination Price ("</w:t>
            </w:r>
            <w:r>
              <w:rPr>
                <w:b/>
              </w:rPr>
              <w:t>Early Termination Net Share Settlement</w:t>
            </w:r>
            <w:r>
              <w:rPr/>
              <w:t>"); provided however, that Party B must notify Party A of its election of Early Termination Net Share Settlement by the close of business on the day that the notice designating the Early Termination Date is effective.</w:t>
            </w:r>
          </w:p>
          <w:p>
            <w:pPr>
              <w:pStyle w:val="Normal"/>
              <w:spacing w:before="100" w:after="0"/>
              <w:jc w:val="both"/>
              <w:rPr/>
            </w:pPr>
            <w:r>
              <w:rPr>
                <w:b/>
              </w:rPr>
              <w:t xml:space="preserve">"Termination Price" </w:t>
            </w:r>
            <w:r>
              <w:rPr/>
              <w:t>means (i) where Party A is the party receiving delivery of Shares, the midpoint of the highest bid and lowest offer prices per Share as quoted by the Exchange at the Valuation Time on the date specified in the Calculation Notice (as defined below) or, if the Shares delivered under a Net Share Settlement election are not fully registered, freely tradable (subject to any prospectus delivery requirement) and free and clear of any lien, charge, claim or other encumbrance ("Free Shares")  or if the parties have not entered into an Underwriting Agreement on the date specified in the notice delivered pursuant to Section 6(d)(i) of the Master Agreement (the “Calculation Notice”), the price determined by Party A in a commercially reasonable manner, and (ii) where Party B is the party receiving delivery of Shares, the midpoint of the highest bid and lowest offer prices per Share as quoted by the Exchange at the Valuation Time on the date specified in the Calculation Notice. Party B understands and acknowledges that the Termination Price shall be lower if (i) the Shares to be delivered under Early Termination Net Share Settlement are not Free Shares or (ii) if the parties have not entered into an Underwriting Agreement.</w:t>
            </w:r>
          </w:p>
          <w:p>
            <w:pPr>
              <w:pStyle w:val="Normal"/>
              <w:spacing w:before="100" w:after="0"/>
              <w:jc w:val="both"/>
              <w:rPr/>
            </w:pPr>
            <w:r>
              <w:rPr/>
              <w:t>A number of Shares calculated as being due in respect of any Early Termination Net Share Settlement will be deliverable on the third Exchange Business Day following the date that the Calculation Notice (specifying the number of Shares deliverable) is effective (the "Early Termination Net Share Settlement Payment Date"). Any fractional Share shall be multiplied by the Termination Price and paid in cash to Party A on the Early Termination Net Share Settlement Payment Date. Section 6(d)(i) of the Master Agreement is hereby amended by adding the following words after the word "paid" in the 5</w:t>
            </w:r>
            <w:r>
              <w:rPr>
                <w:vertAlign w:val="superscript"/>
              </w:rPr>
              <w:t>th</w:t>
            </w:r>
            <w:r>
              <w:rPr/>
              <w:t xml:space="preserve"> line thereof: "or any delivery is to be made, as applicable".</w:t>
            </w:r>
          </w:p>
          <w:p>
            <w:pPr>
              <w:pStyle w:val="Normal"/>
              <w:spacing w:before="100" w:after="0"/>
              <w:jc w:val="both"/>
              <w:rPr/>
            </w:pPr>
            <w:r>
              <w:rPr/>
            </w:r>
          </w:p>
        </w:tc>
      </w:tr>
      <w:tr>
        <w:trPr/>
        <w:tc>
          <w:tcPr>
            <w:tcW w:w="3420" w:type="dxa"/>
            <w:tcBorders/>
          </w:tcPr>
          <w:p>
            <w:pPr>
              <w:pStyle w:val="Normal"/>
              <w:spacing w:before="100" w:after="0"/>
              <w:ind w:start="360" w:end="0"/>
              <w:rPr/>
            </w:pPr>
            <w:r>
              <w:rPr/>
              <w:t>Transfer:</w:t>
            </w:r>
          </w:p>
        </w:tc>
        <w:tc>
          <w:tcPr>
            <w:tcW w:w="5940" w:type="dxa"/>
            <w:tcBorders/>
          </w:tcPr>
          <w:p>
            <w:pPr>
              <w:pStyle w:val="Normal"/>
              <w:spacing w:before="100" w:after="0"/>
              <w:jc w:val="both"/>
              <w:rPr/>
            </w:pPr>
            <w:r>
              <w:rPr/>
              <w:t>Neither party may transfer this Transaction, in whole or in part, without the prior written consent of the non-transferring party, which consent shall not be unreasonably withheld.  In addition, either party may assign this Transaction to an affiliated entity of such party whose obligations in respect of such assignment are guaranteed by the transferor party, or, if the transferor’s obligations under this Transaction are guaranteed, by the guarantor of such transferor party’s obligations.  Notwithstanding the foregoing, any assignment hereunder shall not be permitted if, as a result thereof, a payment becomes subject to any deduction or withholding for or on account of any tax which would not have arisen had such assignment not been effected.</w:t>
            </w:r>
          </w:p>
        </w:tc>
      </w:tr>
    </w:tbl>
    <w:p>
      <w:pPr>
        <w:pStyle w:val="Normal"/>
        <w:ind w:start="3780" w:end="0"/>
        <w:rPr/>
      </w:pPr>
      <w:r>
        <w:rPr/>
      </w:r>
    </w:p>
    <w:p>
      <w:pPr>
        <w:pStyle w:val="Normal"/>
        <w:jc w:val="both"/>
        <w:rPr/>
      </w:pPr>
      <w:r>
        <w:rPr/>
        <w:t>3.</w:t>
        <w:tab/>
      </w:r>
      <w:r>
        <w:rPr>
          <w:b/>
          <w:u w:val="single"/>
        </w:rPr>
        <w:t>General</w:t>
      </w:r>
      <w:r>
        <w:rPr>
          <w:b/>
        </w:rPr>
        <w:t>.</w:t>
      </w:r>
      <w:r>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ENE and Counterparty agree to promptly negotiate in good faith and enter into a master agreement as soon as reasonably possible in the form of the ISDA Agreement and a separate Credit Support Annex, if applicable, with such modifications as ENE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pPr>
      <w:r>
        <w:rPr/>
      </w:r>
    </w:p>
    <w:p>
      <w:pPr>
        <w:pStyle w:val="Normal"/>
        <w:jc w:val="both"/>
        <w:rPr/>
      </w:pPr>
      <w:r>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
    </w:p>
    <w:p>
      <w:pPr>
        <w:pStyle w:val="Normal"/>
        <w:tabs>
          <w:tab w:val="clear" w:pos="720"/>
          <w:tab w:val="left" w:pos="360" w:leader="none"/>
        </w:tabs>
        <w:jc w:val="both"/>
        <w:rPr/>
      </w:pPr>
      <w:r>
        <w:rPr/>
        <w:t>4.</w:t>
      </w:r>
      <w:r>
        <w:rPr>
          <w:b/>
        </w:rPr>
        <w:tab/>
        <w:tab/>
      </w:r>
      <w:r>
        <w:rPr>
          <w:b/>
          <w:u w:val="single"/>
        </w:rPr>
        <w:t>Representations</w:t>
      </w:r>
      <w:r>
        <w:rPr>
          <w:b/>
        </w:rPr>
        <w:t>.</w:t>
      </w:r>
      <w:r>
        <w:rPr/>
        <w:t xml:space="preserve">  To induce the other to enter into the Transaction, each party represents and warrants to the other that: (a) </w:t>
      </w:r>
      <w:r>
        <w:rPr>
          <w:u w:val="single"/>
        </w:rPr>
        <w:t>Authority</w:t>
      </w:r>
      <w:r>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u w:val="single"/>
        </w:rPr>
        <w:t>Eligible Swap Participant</w:t>
      </w:r>
      <w:r>
        <w:rPr/>
        <w:t xml:space="preserve">: it constitutes an “eligible swap participant” as such term is defined in  17 C.F.R. Section 35.1(b)(2) and this Confirmation constitutes a “swap agreement” within the meaning of 17 C.F.R. Section 35.1(b)(1); and (c) </w:t>
      </w:r>
      <w:r>
        <w:rPr>
          <w:u w:val="single"/>
        </w:rPr>
        <w:t>Line of Business</w:t>
      </w:r>
      <w:r>
        <w:rPr/>
        <w:t>:  it is entering into this Confirmation in conjunction with its line of business (including financial intermediation services) or the financing of its business;</w:t>
      </w:r>
      <w:r>
        <w:rPr>
          <w:color w:val="FF0000"/>
        </w:rPr>
        <w:t xml:space="preserve"> </w:t>
      </w:r>
      <w:r>
        <w:rPr/>
        <w:t xml:space="preserve">and (d) </w:t>
      </w:r>
      <w:r>
        <w:rPr>
          <w:u w:val="single"/>
        </w:rPr>
        <w:t>No Reliance and No Advisory Status</w:t>
      </w:r>
      <w:r>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w:t>
      </w:r>
      <w:r>
        <w:rPr>
          <w:color w:val="800080"/>
        </w:rPr>
        <w:t xml:space="preserve">(e) </w:t>
      </w:r>
      <w:r>
        <w:rPr>
          <w:u w:val="single"/>
        </w:rPr>
        <w:t>Tax Representations and Covenants</w:t>
      </w:r>
      <w:r>
        <w:rPr/>
        <w:t xml:space="preserve">:  for purposes of Section 3(e) and 3(f) of the ISDA Agreement, each of the parties makes the representations applicable to it as set forth in Sections I(a) and (b) of </w:t>
      </w:r>
      <w:r>
        <w:rPr>
          <w:u w:val="single"/>
        </w:rPr>
        <w:t>Annex A</w:t>
      </w:r>
      <w:r>
        <w:rPr/>
        <w:t xml:space="preserve"> to this Confirmation as of the Trade Date and as of the date of this Confirmation and in the case of the representations given for purposes of Section 3(f) of the ISDA Agreement (which representations are set forth in Section I(b) of </w:t>
      </w:r>
      <w:r>
        <w:rPr>
          <w:u w:val="single"/>
        </w:rPr>
        <w:t>Annex A</w:t>
      </w:r>
      <w:r>
        <w:rPr/>
        <w:t xml:space="preserve">), at all times until termination of the Transaction.  In addition, each party covenants and agrees that it will deliver to the other party the Tax forms, documents or certificates as required pursuant to Section II(a) of </w:t>
      </w:r>
      <w:r>
        <w:rPr>
          <w:u w:val="single"/>
        </w:rPr>
        <w:t>Annex A</w:t>
      </w:r>
      <w:r>
        <w:rPr/>
        <w:t>.</w:t>
      </w:r>
    </w:p>
    <w:p>
      <w:pPr>
        <w:pStyle w:val="Normal"/>
        <w:spacing w:lineRule="exact" w:line="240" w:before="240" w:after="0"/>
        <w:jc w:val="both"/>
        <w:rPr/>
      </w:pPr>
      <w:r>
        <w:rPr/>
        <w:t>5.</w:t>
        <w:tab/>
      </w:r>
      <w:r>
        <w:rPr>
          <w:b/>
          <w:bCs/>
          <w:u w:val="single"/>
        </w:rPr>
        <w:t>Governing Law/Jurisdiction.</w:t>
      </w:r>
      <w:r>
        <w:rPr/>
        <w:t xml:space="preserve">  </w:t>
      </w:r>
      <w:r>
        <w:rPr>
          <w:b/>
          <w:bCs/>
          <w:szCs w:val="22"/>
        </w:rPr>
        <w:t>This Agreement and each Confirmation will be governed by, and construed, interpreted, and enforced in accordance with, the substantive law of the State of New York (without reference to its choice of law doctrine).</w:t>
      </w:r>
      <w:r>
        <w:rPr>
          <w:szCs w:val="22"/>
        </w:rPr>
        <w:t xml:space="preserve">  Section 13(b) of the ISDA Agreement is hereby deleted in its entirety.</w:t>
      </w:r>
    </w:p>
    <w:p>
      <w:pPr>
        <w:pStyle w:val="Normal"/>
        <w:jc w:val="both"/>
        <w:rPr>
          <w:color w:val="000000"/>
          <w:szCs w:val="22"/>
        </w:rPr>
      </w:pPr>
      <w:r>
        <w:rPr>
          <w:color w:val="000000"/>
          <w:szCs w:val="22"/>
        </w:rPr>
      </w:r>
    </w:p>
    <w:p>
      <w:pPr>
        <w:pStyle w:val="Normal"/>
        <w:jc w:val="both"/>
        <w:rPr/>
      </w:pPr>
      <w:r>
        <w:rPr>
          <w:color w:val="000000"/>
          <w:szCs w:val="22"/>
        </w:rPr>
        <w:t>6.</w:t>
        <w:tab/>
      </w:r>
      <w:r>
        <w:rPr>
          <w:b/>
          <w:u w:val="single"/>
        </w:rPr>
        <w:t>Confidentiality</w:t>
      </w:r>
      <w:r>
        <w:rPr>
          <w:b/>
        </w:rPr>
        <w:t>.</w:t>
      </w:r>
      <w:r>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pPr>
      <w:r>
        <w:rPr/>
      </w:r>
    </w:p>
    <w:p>
      <w:pPr>
        <w:pStyle w:val="Normal"/>
        <w:tabs>
          <w:tab w:val="clear" w:pos="720"/>
          <w:tab w:val="left" w:pos="810" w:leader="none"/>
          <w:tab w:val="left" w:pos="1170" w:leader="none"/>
        </w:tabs>
        <w:jc w:val="both"/>
        <w:rPr/>
      </w:pPr>
      <w:r>
        <w:rPr/>
        <w:t>7.</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t xml:space="preserve"> </w:t>
      </w:r>
    </w:p>
    <w:p>
      <w:pPr>
        <w:pStyle w:val="Normal"/>
        <w:rPr/>
      </w:pPr>
      <w:r>
        <w:rPr/>
      </w:r>
    </w:p>
    <w:p>
      <w:pPr>
        <w:pStyle w:val="Normal"/>
        <w:rPr/>
      </w:pPr>
      <w:r>
        <w:rPr/>
        <w:t>8.</w:t>
        <w:tab/>
      </w:r>
      <w:r>
        <w:rPr>
          <w:b/>
          <w:u w:val="single"/>
        </w:rPr>
        <w:t>Automatic Early Termination</w:t>
      </w:r>
      <w:r>
        <w:rPr>
          <w:b/>
        </w:rPr>
        <w:t xml:space="preserve">.  </w:t>
      </w:r>
      <w:r>
        <w:rPr/>
        <w:t>For purposes of Section 6(a) of the ISDA Agreement, “Automatic Early Termination” shall not apply to ENE and Counterparty.</w:t>
      </w:r>
    </w:p>
    <w:p>
      <w:pPr>
        <w:pStyle w:val="Normal"/>
        <w:rPr/>
      </w:pPr>
      <w:r>
        <w:rPr/>
      </w:r>
    </w:p>
    <w:p>
      <w:pPr>
        <w:pStyle w:val="Normal"/>
        <w:numPr>
          <w:ilvl w:val="0"/>
          <w:numId w:val="0"/>
        </w:numPr>
        <w:outlineLvl w:val="0"/>
        <w:rPr/>
      </w:pPr>
      <w:r>
        <w:rPr/>
        <w:t>9.</w:t>
        <w:tab/>
      </w:r>
      <w:r>
        <w:rPr>
          <w:b/>
          <w:bCs/>
          <w:u w:val="single"/>
        </w:rPr>
        <w:t>Other Terms:</w:t>
      </w:r>
    </w:p>
    <w:p>
      <w:pPr>
        <w:pStyle w:val="Normal"/>
        <w:numPr>
          <w:ilvl w:val="0"/>
          <w:numId w:val="0"/>
        </w:numPr>
        <w:outlineLvl w:val="0"/>
        <w:rPr>
          <w:b/>
          <w:bCs/>
          <w:u w:val="single"/>
        </w:rPr>
      </w:pPr>
      <w:r>
        <w:rPr>
          <w:b/>
          <w:bCs/>
          <w:u w:val="single"/>
        </w:rPr>
      </w:r>
    </w:p>
    <w:p>
      <w:pPr>
        <w:pStyle w:val="Normal"/>
        <w:ind w:firstLine="720" w:end="-180"/>
        <w:rPr/>
      </w:pPr>
      <w:r>
        <w:rPr/>
        <w:t>a)</w:t>
        <w:tab/>
        <w:t>Calculation Agent:  The Calculation Agent shall be Counterparty, whose determinations and calculations shall be binding in the absence of manifest error.</w:t>
      </w:r>
    </w:p>
    <w:p>
      <w:pPr>
        <w:pStyle w:val="Normal"/>
        <w:rPr/>
      </w:pPr>
      <w:r>
        <w:rPr/>
      </w:r>
    </w:p>
    <w:p>
      <w:pPr>
        <w:pStyle w:val="HeadingConfirm"/>
        <w:tabs>
          <w:tab w:val="clear" w:pos="576"/>
          <w:tab w:val="clear" w:pos="900"/>
        </w:tabs>
        <w:spacing w:before="0" w:after="0"/>
        <w:ind w:firstLine="720" w:end="-180"/>
        <w:rPr/>
      </w:pPr>
      <w:r>
        <w:rPr/>
        <w:t>b)</w:t>
        <w:tab/>
        <w:t xml:space="preserve">Potential Adjustment Events.  Calculation Agent Adjustment shall apply with respect to this Transaction in the event of the occurrence of any Potential Adjustment Event. </w:t>
      </w:r>
    </w:p>
    <w:p>
      <w:pPr>
        <w:pStyle w:val="HeadingConfirm"/>
        <w:tabs>
          <w:tab w:val="clear" w:pos="576"/>
          <w:tab w:val="clear" w:pos="900"/>
        </w:tabs>
        <w:spacing w:before="0" w:after="0"/>
        <w:rPr>
          <w:color w:val="FF0000"/>
        </w:rPr>
      </w:pPr>
      <w:r>
        <w:rPr>
          <w:color w:val="FF0000"/>
        </w:rPr>
      </w:r>
    </w:p>
    <w:p>
      <w:pPr>
        <w:pStyle w:val="Normal"/>
        <w:rPr/>
      </w:pPr>
      <w:r>
        <w:rPr>
          <w:bCs/>
        </w:rPr>
        <w:t>10.</w:t>
      </w:r>
      <w:r>
        <w:rPr>
          <w:b/>
        </w:rPr>
        <w:tab/>
        <w:t>Offices.</w:t>
      </w:r>
    </w:p>
    <w:p>
      <w:pPr>
        <w:pStyle w:val="Normal"/>
        <w:keepNext w:val="true"/>
        <w:rPr/>
      </w:pPr>
      <w:r>
        <w:rPr/>
      </w:r>
    </w:p>
    <w:p>
      <w:pPr>
        <w:pStyle w:val="Normal"/>
        <w:keepNext w:val="true"/>
        <w:jc w:val="both"/>
        <w:rPr/>
      </w:pPr>
      <w:r>
        <w:rPr/>
        <w:tab/>
        <w:t>(a)</w:t>
        <w:tab/>
        <w:t>The office of Enron Corp. is and copies of any notices should be delivered to 1400 Smith Street, Houston, Texas  77002, Attention:  Enron Corp. Treasurer, Facsimile No. (713) 646-4816; and to Attention: Assistant General Counsel, Trading Group - ENE, Facsimile No. (713) 646-4818, at the above address; and</w:t>
      </w:r>
    </w:p>
    <w:p>
      <w:pPr>
        <w:pStyle w:val="Normal"/>
        <w:jc w:val="both"/>
        <w:rPr/>
      </w:pPr>
      <w:r>
        <w:rPr/>
      </w:r>
    </w:p>
    <w:p>
      <w:pPr>
        <w:pStyle w:val="Normal"/>
        <w:jc w:val="both"/>
        <w:rPr/>
      </w:pPr>
      <w:r>
        <w:rPr/>
        <w:tab/>
        <w:t>(b)</w:t>
        <w:tab/>
        <w:t>The office of Counterparty is and copies of any notices should be delivered to: Bear Stearns International Limited, One Canada Square, London, England E14 5AD, Attention:  Senior Managing Director, Legal Department, Facsimile No. 011-44-171-516-6621; and with a copy to Bear, Stearns &amp; Co. Inc., 245 Park Avenue, New York, New York  10167, Attention:  Senior Managing Director, Equity Derivatives, Facsimile No. (212) 272-4022.</w:t>
      </w:r>
    </w:p>
    <w:p>
      <w:pPr>
        <w:pStyle w:val="Normal"/>
        <w:keepLines/>
        <w:tabs>
          <w:tab w:val="clear" w:pos="720"/>
          <w:tab w:val="left" w:pos="851" w:leader="none"/>
          <w:tab w:val="left" w:pos="1008" w:leader="none"/>
          <w:tab w:val="left" w:pos="5328" w:leader="none"/>
          <w:tab w:val="left" w:pos="9648" w:leader="none"/>
        </w:tabs>
        <w:jc w:val="both"/>
        <w:rPr/>
      </w:pPr>
      <w:r>
        <w:rPr/>
      </w:r>
    </w:p>
    <w:p>
      <w:pPr>
        <w:pStyle w:val="Normal"/>
        <w:keepNext w:val="true"/>
        <w:keepLines/>
        <w:tabs>
          <w:tab w:val="clear" w:pos="720"/>
          <w:tab w:val="left" w:pos="851" w:leader="none"/>
          <w:tab w:val="left" w:pos="1008" w:leader="none"/>
          <w:tab w:val="left" w:pos="5328" w:leader="none"/>
        </w:tabs>
        <w:ind w:end="-270"/>
        <w:jc w:val="both"/>
        <w:rPr/>
      </w:pPr>
      <w:r>
        <w:rPr/>
        <w:t>11.</w:t>
        <w:tab/>
        <w:t>Credit Provisions.  Party A agrees to provide the following Credit Support Document:  Guaranty of The Bear Stearns Companies Inc.</w:t>
      </w:r>
      <w:r>
        <w:rPr>
          <w:color w:val="FF0000"/>
        </w:rPr>
        <w:t xml:space="preserve"> </w:t>
      </w:r>
      <w:r>
        <w:rPr/>
        <w:t>(unconditional guaranty to Party B of the due and punctual payment of all amounts payable by Party A under this Transaction as such payments become due and payable).</w:t>
      </w:r>
    </w:p>
    <w:p>
      <w:pPr>
        <w:pStyle w:val="Normal"/>
        <w:keepNext w:val="true"/>
        <w:keepLines/>
        <w:tabs>
          <w:tab w:val="clear" w:pos="720"/>
          <w:tab w:val="left" w:pos="851" w:leader="none"/>
          <w:tab w:val="left" w:pos="1008" w:leader="none"/>
          <w:tab w:val="left" w:pos="5328" w:leader="none"/>
        </w:tabs>
        <w:ind w:end="-270"/>
        <w:jc w:val="both"/>
        <w:rPr/>
      </w:pPr>
      <w:r>
        <w:rPr/>
      </w:r>
    </w:p>
    <w:p>
      <w:pPr>
        <w:pStyle w:val="Normal"/>
        <w:keepNext w:val="true"/>
        <w:keepLines/>
        <w:tabs>
          <w:tab w:val="clear" w:pos="720"/>
          <w:tab w:val="left" w:pos="851" w:leader="none"/>
          <w:tab w:val="left" w:pos="1008" w:leader="none"/>
          <w:tab w:val="left" w:pos="5328" w:leader="none"/>
        </w:tabs>
        <w:ind w:end="-270"/>
        <w:jc w:val="both"/>
        <w:rPr/>
      </w:pPr>
      <w:r>
        <w:rPr/>
        <w:t>Please confirm your agreement with the foregoing by executing this Confirmation and returning it to us at facsimile number (713) 646-8517, Attention:  Jeff Nogid.</w:t>
      </w:r>
    </w:p>
    <w:p>
      <w:pPr>
        <w:pStyle w:val="Normal"/>
        <w:keepNext w:val="true"/>
        <w:keepLines/>
        <w:tabs>
          <w:tab w:val="clear" w:pos="720"/>
          <w:tab w:val="left" w:pos="851" w:leader="none"/>
          <w:tab w:val="left" w:pos="1008" w:leader="none"/>
          <w:tab w:val="left" w:pos="4500" w:leader="none"/>
        </w:tabs>
        <w:rPr/>
      </w:pPr>
      <w:r>
        <w:rPr/>
      </w:r>
    </w:p>
    <w:p>
      <w:pPr>
        <w:pStyle w:val="Normal"/>
        <w:keepNext w:val="true"/>
        <w:keepLines/>
        <w:tabs>
          <w:tab w:val="clear" w:pos="720"/>
          <w:tab w:val="left" w:pos="851" w:leader="none"/>
          <w:tab w:val="left" w:pos="1008" w:leader="none"/>
          <w:tab w:val="left" w:pos="4860" w:leader="none"/>
        </w:tabs>
        <w:rPr/>
      </w:pPr>
      <w:r>
        <w:rPr/>
        <w:t>Yours sincerely,</w:t>
        <w:tab/>
        <w:t>Confirmed as of the date first above written:</w:t>
      </w:r>
    </w:p>
    <w:p>
      <w:pPr>
        <w:pStyle w:val="Normal"/>
        <w:keepNext w:val="true"/>
        <w:keepLines/>
        <w:tabs>
          <w:tab w:val="clear" w:pos="720"/>
          <w:tab w:val="left" w:pos="851" w:leader="none"/>
          <w:tab w:val="left" w:pos="1008" w:leader="none"/>
          <w:tab w:val="left" w:pos="4860" w:leader="none"/>
        </w:tabs>
        <w:rPr/>
      </w:pPr>
      <w:r>
        <w:rPr/>
      </w:r>
    </w:p>
    <w:p>
      <w:pPr>
        <w:pStyle w:val="Normal"/>
        <w:keepNext w:val="true"/>
        <w:keepLines/>
        <w:tabs>
          <w:tab w:val="clear" w:pos="720"/>
          <w:tab w:val="left" w:pos="851" w:leader="none"/>
          <w:tab w:val="left" w:pos="1008" w:leader="none"/>
          <w:tab w:val="left" w:pos="4860" w:leader="none"/>
        </w:tabs>
        <w:rPr>
          <w:b/>
        </w:rPr>
      </w:pPr>
      <w:r>
        <w:rPr>
          <w:b/>
        </w:rPr>
        <w:t>Enron Corp.</w:t>
        <w:tab/>
        <w:t xml:space="preserve">Bear, Stearns &amp; Co. International Limited </w:t>
      </w:r>
    </w:p>
    <w:p>
      <w:pPr>
        <w:pStyle w:val="Normal"/>
        <w:keepNext w:val="true"/>
        <w:keepLines/>
        <w:tabs>
          <w:tab w:val="clear" w:pos="720"/>
          <w:tab w:val="left" w:pos="851" w:leader="none"/>
        </w:tabs>
        <w:rPr>
          <w:b/>
        </w:rPr>
      </w:pPr>
      <w:r>
        <w:rPr>
          <w:b/>
        </w:rPr>
      </w:r>
    </w:p>
    <w:tbl>
      <w:tblPr>
        <w:tblW w:w="9738" w:type="dxa"/>
        <w:jc w:val="start"/>
        <w:tblInd w:w="0" w:type="dxa"/>
        <w:tblLayout w:type="fixed"/>
        <w:tblCellMar>
          <w:top w:w="0" w:type="dxa"/>
          <w:start w:w="108" w:type="dxa"/>
          <w:bottom w:w="0" w:type="dxa"/>
          <w:end w:w="108" w:type="dxa"/>
        </w:tblCellMar>
      </w:tblPr>
      <w:tblGrid>
        <w:gridCol w:w="4248"/>
        <w:gridCol w:w="4320"/>
        <w:gridCol w:w="1170"/>
      </w:tblGrid>
      <w:tr>
        <w:trPr/>
        <w:tc>
          <w:tcPr>
            <w:tcW w:w="4248" w:type="dxa"/>
            <w:tcBorders/>
          </w:tcPr>
          <w:p>
            <w:pPr>
              <w:pStyle w:val="Normal"/>
              <w:keepNext w:val="true"/>
              <w:keepLines/>
              <w:tabs>
                <w:tab w:val="clear" w:pos="720"/>
                <w:tab w:val="left" w:pos="851" w:leader="none"/>
              </w:tabs>
              <w:snapToGrid w:val="false"/>
              <w:rPr/>
            </w:pPr>
            <w:r>
              <w:rPr/>
            </w:r>
            <w:bookmarkStart w:id="0" w:name="sig_generic_01"/>
            <w:bookmarkStart w:id="1" w:name="sig_generic_01"/>
            <w:bookmarkEnd w:id="1"/>
          </w:p>
          <w:p>
            <w:pPr>
              <w:pStyle w:val="Normal"/>
              <w:keepNext w:val="true"/>
              <w:keepLines/>
              <w:tabs>
                <w:tab w:val="clear" w:pos="720"/>
                <w:tab w:val="left" w:pos="851" w:leader="none"/>
              </w:tabs>
              <w:rPr/>
            </w:pPr>
            <w:r>
              <w:rPr/>
              <w:t>By:    __________________________________</w:t>
            </w:r>
          </w:p>
          <w:p>
            <w:pPr>
              <w:pStyle w:val="Normal"/>
              <w:keepNext w:val="true"/>
              <w:keepLines/>
              <w:tabs>
                <w:tab w:val="clear" w:pos="720"/>
                <w:tab w:val="left" w:pos="851" w:leader="none"/>
              </w:tabs>
              <w:rPr/>
            </w:pPr>
            <w:r>
              <w:rPr/>
              <w:t>Name: _________________________________</w:t>
            </w:r>
          </w:p>
          <w:p>
            <w:pPr>
              <w:pStyle w:val="Normal"/>
              <w:keepNext w:val="true"/>
              <w:keepLines/>
              <w:tabs>
                <w:tab w:val="clear" w:pos="720"/>
                <w:tab w:val="left" w:pos="851" w:leader="none"/>
              </w:tabs>
              <w:rPr/>
            </w:pPr>
            <w:r>
              <w:rPr/>
              <w:t>Title: __________________________________</w:t>
            </w:r>
          </w:p>
        </w:tc>
        <w:tc>
          <w:tcPr>
            <w:tcW w:w="5490" w:type="dxa"/>
            <w:gridSpan w:val="2"/>
            <w:tcBorders/>
          </w:tcPr>
          <w:p>
            <w:pPr>
              <w:pStyle w:val="Normal"/>
              <w:keepNext w:val="true"/>
              <w:keepLines/>
              <w:tabs>
                <w:tab w:val="clear" w:pos="720"/>
                <w:tab w:val="left" w:pos="851" w:leader="none"/>
              </w:tabs>
              <w:snapToGrid w:val="false"/>
              <w:rPr/>
            </w:pPr>
            <w:r>
              <w:rPr/>
            </w:r>
          </w:p>
          <w:p>
            <w:pPr>
              <w:pStyle w:val="Normal"/>
              <w:keepNext w:val="true"/>
              <w:keepLines/>
              <w:tabs>
                <w:tab w:val="clear" w:pos="720"/>
                <w:tab w:val="left" w:pos="851" w:leader="none"/>
              </w:tabs>
              <w:ind w:firstLine="612" w:end="0"/>
              <w:rPr/>
            </w:pPr>
            <w:r>
              <w:rPr/>
              <w:t>By:    _________________________________________</w:t>
            </w:r>
          </w:p>
          <w:p>
            <w:pPr>
              <w:pStyle w:val="Normal"/>
              <w:keepNext w:val="true"/>
              <w:keepLines/>
              <w:tabs>
                <w:tab w:val="clear" w:pos="720"/>
                <w:tab w:val="left" w:pos="851" w:leader="none"/>
              </w:tabs>
              <w:ind w:firstLine="612" w:end="0"/>
              <w:rPr/>
            </w:pPr>
            <w:r>
              <w:rPr/>
              <w:t>Name:_________________________________________</w:t>
            </w:r>
          </w:p>
          <w:p>
            <w:pPr>
              <w:pStyle w:val="Normal"/>
              <w:keepNext w:val="true"/>
              <w:keepLines/>
              <w:tabs>
                <w:tab w:val="clear" w:pos="720"/>
                <w:tab w:val="left" w:pos="851" w:leader="none"/>
              </w:tabs>
              <w:ind w:firstLine="612" w:end="0"/>
              <w:rPr/>
            </w:pPr>
            <w:r>
              <w:rPr/>
              <w:t>Title:  _________________________________________</w:t>
            </w:r>
          </w:p>
        </w:tc>
      </w:tr>
      <w:tr>
        <w:trPr/>
        <w:tc>
          <w:tcPr>
            <w:tcW w:w="4248" w:type="dxa"/>
            <w:tcBorders/>
          </w:tcPr>
          <w:p>
            <w:pPr>
              <w:pStyle w:val="Normal"/>
              <w:keepNext w:val="true"/>
              <w:keepLines/>
              <w:tabs>
                <w:tab w:val="clear" w:pos="720"/>
                <w:tab w:val="left" w:pos="851" w:leader="none"/>
              </w:tabs>
              <w:snapToGrid w:val="false"/>
              <w:rPr/>
            </w:pPr>
            <w:r>
              <w:rPr/>
            </w:r>
            <w:bookmarkStart w:id="2" w:name="sig_generic_02"/>
            <w:bookmarkStart w:id="3" w:name="sig_generic_02"/>
            <w:bookmarkEnd w:id="3"/>
          </w:p>
        </w:tc>
        <w:tc>
          <w:tcPr>
            <w:tcW w:w="4320" w:type="dxa"/>
            <w:tcBorders/>
          </w:tcPr>
          <w:p>
            <w:pPr>
              <w:pStyle w:val="Normal"/>
              <w:keepNext w:val="true"/>
              <w:keepLines/>
              <w:tabs>
                <w:tab w:val="clear" w:pos="720"/>
                <w:tab w:val="left" w:pos="851" w:leader="none"/>
              </w:tabs>
              <w:snapToGrid w:val="false"/>
              <w:rPr/>
            </w:pPr>
            <w:r>
              <w:rPr/>
            </w:r>
          </w:p>
        </w:tc>
        <w:tc>
          <w:tcPr>
            <w:tcW w:w="1170" w:type="dxa"/>
            <w:tcBorders/>
            <w:tcMar>
              <w:start w:w="0" w:type="dxa"/>
              <w:end w:w="0" w:type="dxa"/>
            </w:tcMar>
          </w:tcPr>
          <w:p>
            <w:pPr>
              <w:pStyle w:val="Normal"/>
              <w:snapToGrid w:val="false"/>
              <w:rPr/>
            </w:pPr>
            <w:r>
              <w:rPr/>
            </w:r>
          </w:p>
        </w:tc>
      </w:tr>
    </w:tbl>
    <w:p>
      <w:pPr>
        <w:pStyle w:val="Normal"/>
        <w:keepNext w:val="true"/>
        <w:keepLines/>
        <w:tabs>
          <w:tab w:val="clear" w:pos="720"/>
          <w:tab w:val="left" w:pos="851" w:leader="none"/>
        </w:tabs>
        <w:rPr/>
      </w:pPr>
      <w:r>
        <w:rPr/>
      </w:r>
    </w:p>
    <w:p>
      <w:pPr>
        <w:pStyle w:val="Normal"/>
        <w:keepNext w:val="true"/>
        <w:keepLines/>
        <w:tabs>
          <w:tab w:val="clear" w:pos="720"/>
          <w:tab w:val="left" w:pos="851" w:leader="none"/>
        </w:tabs>
        <w:rPr/>
      </w:pPr>
      <w:r>
        <w:rPr/>
      </w:r>
    </w:p>
    <w:p>
      <w:pPr>
        <w:pStyle w:val="Normal"/>
        <w:keepNext w:val="true"/>
        <w:keepLines/>
        <w:numPr>
          <w:ilvl w:val="0"/>
          <w:numId w:val="0"/>
        </w:numPr>
        <w:tabs>
          <w:tab w:val="clear" w:pos="720"/>
          <w:tab w:val="left" w:pos="851" w:leader="none"/>
        </w:tabs>
        <w:outlineLvl w:val="0"/>
        <w:rPr>
          <w:sz w:val="14"/>
        </w:rPr>
      </w:pPr>
      <w:r>
        <w:rPr>
          <w:sz w:val="14"/>
        </w:rPr>
        <w:t>Execution time will be furnished upon Counterparty's written request.</w:t>
      </w:r>
    </w:p>
    <w:p>
      <w:pPr>
        <w:sectPr>
          <w:headerReference w:type="default" r:id="rId3"/>
          <w:headerReference w:type="first" r:id="rId4"/>
          <w:footerReference w:type="default" r:id="rId5"/>
          <w:footerReference w:type="first" r:id="rId6"/>
          <w:type w:val="nextPage"/>
          <w:pgSz w:w="12240" w:h="15840"/>
          <w:pgMar w:left="1440" w:right="1440" w:gutter="0" w:header="720" w:top="1440" w:footer="454" w:bottom="1440"/>
          <w:pgNumType w:fmt="decimal"/>
          <w:formProt w:val="false"/>
          <w:titlePg/>
          <w:textDirection w:val="lrTb"/>
          <w:docGrid w:type="default" w:linePitch="360" w:charSpace="0"/>
        </w:sectPr>
        <w:pStyle w:val="Normal"/>
        <w:keepNext w:val="true"/>
        <w:keepLines/>
        <w:tabs>
          <w:tab w:val="clear" w:pos="720"/>
          <w:tab w:val="left" w:pos="851" w:leader="none"/>
          <w:tab w:val="left" w:pos="1008" w:leader="none"/>
          <w:tab w:val="left" w:pos="4500" w:leader="none"/>
        </w:tabs>
        <w:rPr>
          <w:sz w:val="14"/>
        </w:rPr>
      </w:pPr>
      <w:r>
        <w:rPr>
          <w:sz w:val="14"/>
        </w:rPr>
      </w:r>
    </w:p>
    <w:p>
      <w:pPr>
        <w:pStyle w:val="Normal"/>
        <w:keepNext w:val="true"/>
        <w:spacing w:lineRule="exact" w:line="240"/>
        <w:jc w:val="center"/>
        <w:rPr>
          <w:b/>
        </w:rPr>
      </w:pPr>
      <w:r>
        <w:rPr>
          <w:b/>
        </w:rPr>
        <w:t>ANNEX A</w:t>
      </w:r>
    </w:p>
    <w:p>
      <w:pPr>
        <w:pStyle w:val="Normal"/>
        <w:keepNext w:val="true"/>
        <w:keepLines/>
        <w:spacing w:lineRule="exact" w:line="240"/>
        <w:jc w:val="center"/>
        <w:rPr>
          <w:b/>
        </w:rPr>
      </w:pPr>
      <w:r>
        <w:rPr>
          <w:b/>
        </w:rPr>
      </w:r>
    </w:p>
    <w:p>
      <w:pPr>
        <w:pStyle w:val="Normal"/>
        <w:keepNext w:val="true"/>
        <w:keepLines/>
        <w:spacing w:lineRule="exact" w:line="240"/>
        <w:jc w:val="center"/>
        <w:rPr>
          <w:b/>
        </w:rPr>
      </w:pPr>
      <w:r>
        <w:rPr>
          <w:b/>
        </w:rPr>
        <w:t>U.S. WITHHOLDING TAX</w:t>
      </w:r>
    </w:p>
    <w:p>
      <w:pPr>
        <w:pStyle w:val="Normal"/>
        <w:keepNext w:val="true"/>
        <w:keepLines/>
        <w:spacing w:lineRule="exact" w:line="240"/>
        <w:jc w:val="center"/>
        <w:rPr>
          <w:b/>
        </w:rPr>
      </w:pPr>
      <w:r>
        <w:rPr>
          <w:b/>
        </w:rPr>
      </w:r>
    </w:p>
    <w:p>
      <w:pPr>
        <w:pStyle w:val="Normal"/>
        <w:spacing w:lineRule="exact" w:line="240"/>
        <w:jc w:val="center"/>
        <w:rPr>
          <w:b/>
        </w:rPr>
      </w:pPr>
      <w:r>
        <w:rPr>
          <w:b/>
        </w:rPr>
        <w:t>Party A:  Enron North America Corp.</w:t>
      </w:r>
    </w:p>
    <w:p>
      <w:pPr>
        <w:pStyle w:val="Heading4"/>
        <w:ind w:hanging="0" w:start="0"/>
        <w:rPr>
          <w:color w:val="FF0000"/>
        </w:rPr>
      </w:pPr>
      <w:r>
        <w:rPr/>
        <w:t>Party B:  Bear Stearns &amp; Co. International Limited</w:t>
      </w:r>
    </w:p>
    <w:p>
      <w:pPr>
        <w:pStyle w:val="Normal"/>
        <w:spacing w:lineRule="exact" w:line="240"/>
        <w:jc w:val="both"/>
        <w:rPr>
          <w:b/>
          <w:color w:val="FF0000"/>
        </w:rPr>
      </w:pPr>
      <w:r>
        <w:rPr>
          <w:b/>
          <w:color w:val="FF0000"/>
        </w:rPr>
      </w:r>
    </w:p>
    <w:p>
      <w:pPr>
        <w:pStyle w:val="Normal"/>
        <w:spacing w:lineRule="exact" w:line="240"/>
        <w:jc w:val="both"/>
        <w:rPr>
          <w:b/>
        </w:rPr>
      </w:pPr>
      <w:r>
        <w:rPr>
          <w:b/>
        </w:rPr>
      </w:r>
    </w:p>
    <w:p>
      <w:pPr>
        <w:pStyle w:val="Normal"/>
        <w:spacing w:lineRule="exact" w:line="240"/>
        <w:jc w:val="both"/>
        <w:rPr>
          <w:b/>
        </w:rPr>
      </w:pPr>
      <w:r>
        <w:rPr>
          <w:b/>
        </w:rPr>
        <w:t>I.</w:t>
        <w:tab/>
        <w:t>Tax Representations.</w:t>
      </w:r>
    </w:p>
    <w:p>
      <w:pPr>
        <w:pStyle w:val="Normal"/>
        <w:spacing w:lineRule="exact" w:line="240"/>
        <w:jc w:val="both"/>
        <w:rPr>
          <w:b/>
        </w:rPr>
      </w:pPr>
      <w:r>
        <w:rPr>
          <w:b/>
        </w:rPr>
      </w:r>
    </w:p>
    <w:p>
      <w:pPr>
        <w:pStyle w:val="Normal"/>
        <w:spacing w:lineRule="exact" w:line="240"/>
        <w:ind w:hanging="720" w:start="720" w:end="0"/>
        <w:jc w:val="both"/>
        <w:rPr/>
      </w:pPr>
      <w:r>
        <w:rPr>
          <w:b/>
        </w:rPr>
        <w:t>(a)</w:t>
        <w:tab/>
        <w:t xml:space="preserve">Payer Representations.  </w:t>
      </w:r>
      <w:r>
        <w:rPr/>
        <w:t>For the purpose of Section 3(e) of the ISDA Agreement, Party A and Party B make the following representation:</w:t>
      </w:r>
    </w:p>
    <w:p>
      <w:pPr>
        <w:pStyle w:val="Normal"/>
        <w:spacing w:lineRule="exact" w:line="240"/>
        <w:ind w:hanging="720" w:start="720" w:end="0"/>
        <w:jc w:val="both"/>
        <w:rPr/>
      </w:pPr>
      <w:r>
        <w:rPr/>
      </w:r>
    </w:p>
    <w:p>
      <w:pPr>
        <w:pStyle w:val="Normal"/>
        <w:spacing w:lineRule="exact" w:line="24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rPr>
        <w:t>provided</w:t>
      </w:r>
      <w:r>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ind w:start="720" w:end="0"/>
        <w:jc w:val="both"/>
        <w:rPr/>
      </w:pPr>
      <w:r>
        <w:rPr/>
      </w:r>
    </w:p>
    <w:p>
      <w:pPr>
        <w:pStyle w:val="Normal"/>
        <w:spacing w:lineRule="exact" w:line="240"/>
        <w:ind w:hanging="720" w:start="720" w:end="0"/>
        <w:jc w:val="both"/>
        <w:rPr/>
      </w:pPr>
      <w:r>
        <w:rPr>
          <w:b/>
        </w:rPr>
        <w:t>(b)</w:t>
        <w:tab/>
        <w:t>Payee Representations.</w:t>
      </w:r>
      <w:r>
        <w:rPr/>
        <w:t xml:space="preserve">  For the purpose of Section 3(f) of the ISDA Agreement, Party A makes no representations, and Party B makes the following representation:</w:t>
      </w:r>
    </w:p>
    <w:p>
      <w:pPr>
        <w:pStyle w:val="Normal"/>
        <w:spacing w:lineRule="exact" w:line="240"/>
        <w:ind w:hanging="720" w:start="720" w:end="0"/>
        <w:jc w:val="both"/>
        <w:rPr/>
      </w:pPr>
      <w:r>
        <w:rPr/>
      </w:r>
    </w:p>
    <w:p>
      <w:pPr>
        <w:pStyle w:val="Normal"/>
        <w:spacing w:lineRule="exact" w:line="240"/>
        <w:ind w:start="720" w:end="0"/>
        <w:jc w:val="both"/>
        <w:rPr/>
      </w:pPr>
      <w:r>
        <w:rPr/>
        <w:t>Each payment received or to be received by it in connection with this Confirmation and the ISDA Agreement will be effectively connected with its conduct of a trade or business in the United States.</w:t>
      </w:r>
    </w:p>
    <w:p>
      <w:pPr>
        <w:pStyle w:val="Normal"/>
        <w:spacing w:lineRule="exact" w:line="240"/>
        <w:jc w:val="both"/>
        <w:rPr>
          <w:b/>
        </w:rPr>
      </w:pPr>
      <w:r>
        <w:rPr>
          <w:b/>
        </w:rPr>
      </w:r>
    </w:p>
    <w:p>
      <w:pPr>
        <w:pStyle w:val="Normal"/>
        <w:spacing w:lineRule="exact" w:line="240"/>
        <w:jc w:val="both"/>
        <w:rPr>
          <w:b/>
        </w:rPr>
      </w:pPr>
      <w:r>
        <w:rPr>
          <w:b/>
        </w:rPr>
        <w:t>II.</w:t>
        <w:tab/>
        <w:t>Agreement to Deliver Documents.</w:t>
      </w:r>
    </w:p>
    <w:p>
      <w:pPr>
        <w:pStyle w:val="Normal"/>
        <w:spacing w:lineRule="exact" w:line="240"/>
        <w:ind w:hanging="720" w:start="720" w:end="0"/>
        <w:jc w:val="both"/>
        <w:rPr>
          <w:b/>
        </w:rPr>
      </w:pPr>
      <w:r>
        <w:rPr>
          <w:b/>
        </w:rPr>
      </w:r>
    </w:p>
    <w:p>
      <w:pPr>
        <w:pStyle w:val="Normal"/>
        <w:spacing w:lineRule="exact" w:line="240"/>
        <w:ind w:hanging="720" w:start="720" w:end="0"/>
        <w:jc w:val="both"/>
        <w:rPr/>
      </w:pPr>
      <w:r>
        <w:rPr/>
        <w:t>(a)</w:t>
        <w:tab/>
        <w:t>Party B agrees to complete (accurately and in a manner reasonably satisfactory to Party A), execute, and deliver to Party A a United States Internal Revenue Service Form W-8BEN, or any successor form, (i) before the first Scheduled Payment Date under this Confirmation and the ISDA Agreement, and thereafter prior to the first Scheduled Payment Date in each third successive taxable year of Party B, (ii) promptly upon reasonable demand by Party A, and (iii) promptly upon learning that any such form previously provided by Party B has become obsolete or incorrect.</w:t>
      </w:r>
    </w:p>
    <w:p>
      <w:pPr>
        <w:pStyle w:val="Normal"/>
        <w:spacing w:lineRule="exact" w:line="240"/>
        <w:ind w:hanging="720" w:start="720" w:end="0"/>
        <w:jc w:val="both"/>
        <w:rPr/>
      </w:pPr>
      <w:r>
        <w:rPr/>
      </w:r>
    </w:p>
    <w:p>
      <w:pPr>
        <w:pStyle w:val="Normal"/>
        <w:spacing w:lineRule="exact" w:line="240"/>
        <w:jc w:val="both"/>
        <w:rPr/>
      </w:pPr>
      <w:r>
        <w:rPr>
          <w:b/>
        </w:rPr>
        <w:t>III.</w:t>
        <w:tab/>
        <w:t xml:space="preserve">Definitions. </w:t>
      </w:r>
      <w:r>
        <w:rPr/>
        <w:t xml:space="preserve">  Capitalized terms not otherwise defined in this Annex A shall have the meaning set forth in this Confirmation or the ISDA Agreement.</w:t>
      </w:r>
    </w:p>
    <w:p>
      <w:pPr>
        <w:pStyle w:val="Normal"/>
        <w:rPr/>
      </w:pPr>
      <w:r>
        <w:rPr/>
      </w:r>
    </w:p>
    <w:sectPr>
      <w:headerReference w:type="default" r:id="rId7"/>
      <w:headerReference w:type="first" r:id="rId8"/>
      <w:footerReference w:type="default" r:id="rId9"/>
      <w:footerReference w:type="first" r:id="rId10"/>
      <w:type w:val="nextPage"/>
      <w:pgSz w:w="12240" w:h="15840"/>
      <w:pgMar w:left="1440" w:right="1440" w:gutter="0" w:header="720" w:top="1440" w:footer="454"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tab/>
    </w:r>
    <w:r>
      <w:rPr/>
      <w:fldChar w:fldCharType="begin"/>
    </w:r>
    <w:r>
      <w:rPr/>
      <w:instrText xml:space="preserve"> PAGE </w:instrText>
    </w:r>
    <w:r>
      <w:rPr/>
      <w:fldChar w:fldCharType="separate"/>
    </w:r>
    <w:r>
      <w:rPr/>
      <w:t>8</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2"/>
      </w:rPr>
      <w:fldChar w:fldCharType="begin"/>
    </w:r>
    <w:r>
      <w:rPr>
        <w:sz w:val="12"/>
      </w:rPr>
      <w:instrText xml:space="preserve"> FILENAME \p </w:instrText>
    </w:r>
    <w:r>
      <w:rPr>
        <w:sz w:val="12"/>
      </w:rPr>
      <w:fldChar w:fldCharType="separate"/>
    </w:r>
    <w:r>
      <w:rPr>
        <w:sz w:val="12"/>
      </w:rPr>
      <w:t>/mnt/main-storage/datasets/enron-docs/doc/077conf_bearstearns_.doc</w:t>
    </w:r>
    <w:r>
      <w:rPr>
        <w:sz w:val="12"/>
      </w:rPr>
      <w:fldChar w:fldCharType="end"/>
    </w:r>
    <w:r>
      <w:rPr>
        <w:sz w:val="12"/>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tab/>
    </w:r>
    <w:r>
      <w:rPr/>
      <w:fldChar w:fldCharType="begin"/>
    </w:r>
    <w:r>
      <w:rPr/>
      <w:instrText xml:space="preserve"> PAGE </w:instrText>
    </w:r>
    <w:r>
      <w:rPr/>
      <w:fldChar w:fldCharType="separate"/>
    </w:r>
    <w:r>
      <w:rPr/>
      <w:t>0</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2"/>
      </w:rPr>
      <w:fldChar w:fldCharType="begin"/>
    </w:r>
    <w:r>
      <w:rPr>
        <w:sz w:val="12"/>
      </w:rPr>
      <w:instrText xml:space="preserve"> FILENAME \p </w:instrText>
    </w:r>
    <w:r>
      <w:rPr>
        <w:sz w:val="12"/>
      </w:rPr>
      <w:fldChar w:fldCharType="separate"/>
    </w:r>
    <w:r>
      <w:rPr>
        <w:sz w:val="12"/>
      </w:rPr>
      <w:t>/mnt/main-storage/datasets/enron-docs/doc/077conf_bearstearns_.doc</w:t>
    </w:r>
    <w:r>
      <w:rPr>
        <w:sz w:val="12"/>
      </w:rPr>
      <w:fldChar w:fldCharType="end"/>
    </w:r>
    <w:r>
      <w:rPr>
        <w:sz w:val="12"/>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u w:val="single"/>
    </w:rPr>
  </w:style>
  <w:style w:type="paragraph" w:styleId="Heading2">
    <w:name w:val="heading 2"/>
    <w:basedOn w:val="Normal"/>
    <w:next w:val="Normal"/>
    <w:qFormat/>
    <w:pPr>
      <w:keepNext w:val="true"/>
      <w:numPr>
        <w:ilvl w:val="1"/>
        <w:numId w:val="1"/>
      </w:numPr>
      <w:ind w:hanging="3600" w:start="4320" w:end="0"/>
      <w:outlineLvl w:val="1"/>
    </w:pPr>
    <w:rPr/>
  </w:style>
  <w:style w:type="paragraph" w:styleId="Heading3">
    <w:name w:val="heading 3"/>
    <w:basedOn w:val="Normal"/>
    <w:next w:val="Normal"/>
    <w:qFormat/>
    <w:pPr>
      <w:keepNext w:val="true"/>
      <w:numPr>
        <w:ilvl w:val="2"/>
        <w:numId w:val="1"/>
      </w:numPr>
      <w:ind w:firstLine="576" w:start="0" w:end="0"/>
      <w:outlineLvl w:val="2"/>
    </w:pPr>
    <w:rPr>
      <w:rFonts w:ascii="Arial" w:hAnsi="Arial" w:cs="Arial"/>
    </w:rPr>
  </w:style>
  <w:style w:type="paragraph" w:styleId="Heading4">
    <w:name w:val="heading 4"/>
    <w:basedOn w:val="Normal"/>
    <w:next w:val="Normal"/>
    <w:qFormat/>
    <w:pPr>
      <w:keepNext w:val="true"/>
      <w:numPr>
        <w:ilvl w:val="3"/>
        <w:numId w:val="1"/>
      </w:numPr>
      <w:spacing w:lineRule="exact" w:line="240"/>
      <w:jc w:val="center"/>
      <w:outlineLvl w:val="3"/>
    </w:pPr>
    <w:rPr>
      <w:b/>
    </w:rPr>
  </w:style>
  <w:style w:type="character" w:styleId="DefaultParagraphFont">
    <w:name w:val="Default Paragraph Font"/>
    <w:qFormat/>
    <w:rPr/>
  </w:style>
  <w:style w:type="character" w:styleId="PageNumber">
    <w:name w:val="page number"/>
    <w:basedOn w:val="DefaultParagraphFont"/>
    <w:rPr/>
  </w:style>
  <w:style w:type="character" w:styleId="VEDocumentInformation">
    <w:name w:val="VE Document Information"/>
    <w:basedOn w:val="DefaultParagraphFont"/>
    <w:qFormat/>
    <w:rPr>
      <w:sz w:val="16"/>
    </w:rPr>
  </w:style>
  <w:style w:type="character" w:styleId="FootnoteCharacters">
    <w:name w:val="Footnote Characters"/>
    <w:basedOn w:val="DefaultParagraphFont"/>
    <w:qFormat/>
    <w:rPr>
      <w:rFonts w:ascii="Times New Roman" w:hAnsi="Times New Roman" w:cs="Times New Roman"/>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z w:val="20"/>
    </w:rPr>
  </w:style>
  <w:style w:type="paragraph" w:styleId="HiddenText">
    <w:name w:val="Hidden Text"/>
    <w:basedOn w:val="Normal"/>
    <w:next w:val="Normal"/>
    <w:qFormat/>
    <w:pPr>
      <w:tabs>
        <w:tab w:val="clear" w:pos="720"/>
        <w:tab w:val="left" w:pos="9648" w:leader="none"/>
      </w:tabs>
      <w:spacing w:before="240" w:after="0"/>
      <w:jc w:val="both"/>
    </w:pPr>
    <w:rPr>
      <w:vanish/>
      <w:color w:val="0000FF"/>
      <w:spacing w:val="30"/>
      <w:sz w:val="20"/>
    </w:rPr>
  </w:style>
  <w:style w:type="paragraph" w:styleId="HeadingConfirm">
    <w:name w:val="Heading (Confirm)"/>
    <w:basedOn w:val="Normal"/>
    <w:qFormat/>
    <w:pPr>
      <w:tabs>
        <w:tab w:val="clear" w:pos="720"/>
        <w:tab w:val="left" w:pos="576" w:leader="none"/>
        <w:tab w:val="left" w:pos="900" w:leader="none"/>
      </w:tabs>
      <w:spacing w:before="240" w:after="0"/>
      <w:jc w:val="both"/>
    </w:pPr>
    <w:rPr/>
  </w:style>
  <w:style w:type="paragraph" w:styleId="col2">
    <w:name w:val="col2"/>
    <w:basedOn w:val="Normal"/>
    <w:qFormat/>
    <w:pPr>
      <w:spacing w:lineRule="atLeast" w:line="240" w:before="0" w:after="240"/>
      <w:jc w:val="both"/>
    </w:pPr>
    <w:rPr/>
  </w:style>
  <w:style w:type="paragraph" w:styleId="gt1">
    <w:name w:val="gt1"/>
    <w:basedOn w:val="Normal"/>
    <w:qFormat/>
    <w:pPr>
      <w:spacing w:lineRule="atLeast" w:line="240" w:before="0" w:after="240"/>
      <w:ind w:hanging="0" w:start="720" w:end="0"/>
      <w:jc w:val="both"/>
    </w:pPr>
    <w:rPr/>
  </w:style>
  <w:style w:type="paragraph" w:styleId="FootnoteText">
    <w:name w:val="footnote text"/>
    <w:basedOn w:val="Normal"/>
    <w:pPr/>
    <w:rPr/>
  </w:style>
  <w:style w:type="paragraph" w:styleId="t1">
    <w:name w:val="t1"/>
    <w:basedOn w:val="Normal"/>
    <w:qFormat/>
    <w:pPr>
      <w:widowControl w:val="false"/>
      <w:spacing w:lineRule="atLeast" w:line="320"/>
    </w:pPr>
    <w:rPr>
      <w:sz w:val="24"/>
    </w:rPr>
  </w:style>
  <w:style w:type="paragraph" w:styleId="BodyTextIndent">
    <w:name w:val="Body Text Indent"/>
    <w:basedOn w:val="Normal"/>
    <w:pPr>
      <w:spacing w:before="100" w:after="0"/>
      <w:ind w:hanging="0" w:start="4320" w:end="0"/>
      <w:jc w:val="both"/>
    </w:pPr>
    <w:rPr/>
  </w:style>
  <w:style w:type="paragraph" w:styleId="BlockText">
    <w:name w:val="Block Text"/>
    <w:basedOn w:val="Normal"/>
    <w:qFormat/>
    <w:pPr>
      <w:tabs>
        <w:tab w:val="clear" w:pos="720"/>
        <w:tab w:val="left" w:pos="576" w:leader="none"/>
      </w:tabs>
      <w:ind w:hanging="0" w:start="187" w:end="605"/>
      <w:jc w:val="both"/>
    </w:pPr>
    <w:rPr/>
  </w:style>
  <w:style w:type="paragraph" w:styleId="BodyText3">
    <w:name w:val="Body Text 3"/>
    <w:basedOn w:val="Normal"/>
    <w:qFormat/>
    <w:pPr>
      <w:spacing w:before="100" w:after="0"/>
      <w:jc w:val="both"/>
    </w:pPr>
    <w:rPr>
      <w:color w:val="FF0000"/>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3600" w:start="4320" w:end="0"/>
    </w:pPr>
    <w:rPr/>
  </w:style>
  <w:style w:type="paragraph" w:styleId="BodyTextIndent3">
    <w:name w:val="Body Text Indent 3"/>
    <w:basedOn w:val="Normal"/>
    <w:qFormat/>
    <w:pPr>
      <w:ind w:hanging="4140" w:start="43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LBFLette</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2000-12-27T18:34:00Z</dcterms:created>
  <dc:creator>SYSTEM</dc:creator>
  <dc:description/>
  <dc:language>en-CA</dc:language>
  <cp:lastModifiedBy>spanus</cp:lastModifiedBy>
  <cp:lastPrinted>2000-12-28T15:07:00Z</cp:lastPrinted>
  <dcterms:modified xsi:type="dcterms:W3CDTF">2000-12-28T18:38:00Z</dcterms:modified>
  <cp:revision>8</cp:revision>
  <dc:subject/>
  <dc:title>23 February, 1999</dc:title>
</cp:coreProperties>
</file>