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sz w:val="18"/>
          <w:u w:val="none"/>
        </w:rPr>
      </w:pPr>
      <w:r>
        <w:rPr>
          <w:rFonts w:cs="Arial Narrow" w:ascii="Arial Narrow" w:hAnsi="Arial Narrow"/>
          <w:sz w:val="18"/>
          <w:u w:val="single"/>
        </w:rPr>
        <w:t>DRAFT OF 12/13/2000</w:t>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SMITH BARNEY AAA ENERGY FUND L.P.</w:t>
      </w:r>
    </w:p>
    <w:p>
      <w:pPr>
        <w:pStyle w:val="Normal"/>
        <w:jc w:val="center"/>
        <w:rPr>
          <w:rFonts w:ascii="Arial Narrow" w:hAnsi="Arial Narrow" w:cs="Arial Narrow"/>
          <w:b/>
        </w:rPr>
      </w:pPr>
      <w:r>
        <w:rPr>
          <w:rFonts w:cs="Arial Narrow" w:ascii="Arial Narrow" w:hAnsi="Arial Narrow"/>
          <w:b/>
        </w:rPr>
        <w:t>[Deal Nos. QD7357.1 and QE0910.2]</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$2,000,000 with respect to Counterparty and $100,000,000 with respect to ENA,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72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Credit Rating is below “BBB-” by S&amp;P or Enron Corp. fails to have a Credit Rating from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firstLine="72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any Cash previously delivered to the Exposed Party and not returned pursuant to Section 2(b) of this Annex and any Interest Amount that has not been delivered to the Non-Exposed Party; and (ii)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$25,000,000 and (ii) Counterparty, zero; provided, however, that the Exposure Threshold for ENA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ENA.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(m)</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in the case of Cash, payment or delivery by wire transfer into one or more bank accounts specified by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4.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(d) the performance by it of its obligations under this Annex will not result in the creation of any security interest, lien or other encumbrance on any property other than the security interest and lien granted pursuant to this Annex.</w:t>
      </w:r>
    </w:p>
    <w:p>
      <w:pPr>
        <w:pStyle w:val="Normal"/>
        <w:tabs>
          <w:tab w:val="left" w:pos="720" w:leader="none"/>
        </w:tabs>
        <w:spacing w:before="240" w:after="0"/>
        <w:ind w:hanging="1440" w:end="0"/>
        <w:jc w:val="both"/>
        <w:rPr/>
      </w:pPr>
      <w:r>
        <w:rPr>
          <w:rFonts w:cs="Arial Narrow" w:ascii="Arial Narrow" w:hAnsi="Arial Narrow"/>
          <w:sz w:val="18"/>
        </w:rPr>
        <w:tab/>
        <w:tab/>
        <w:t xml:space="preserve">5.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7.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rPr>
          <w:rFonts w:ascii="Arial Narrow" w:hAnsi="Arial Narrow" w:cs="Arial Narrow"/>
          <w:b/>
          <w:sz w:val="18"/>
          <w:u w:val="single"/>
        </w:rPr>
      </w:pPr>
      <w:r>
        <w:rPr>
          <w:rFonts w:cs="Arial Narrow" w:ascii="Arial Narrow" w:hAnsi="Arial Narrow"/>
          <w:b/>
          <w:sz w:val="18"/>
          <w:u w:val="single"/>
        </w:rPr>
      </w:r>
    </w:p>
    <w:p>
      <w:pPr>
        <w:pStyle w:val="Normal"/>
        <w:rPr>
          <w:rFonts w:ascii="Arial Narrow" w:hAnsi="Arial Narrow" w:cs="Arial Narrow"/>
          <w:b/>
          <w:sz w:val="18"/>
          <w:u w:val="single"/>
        </w:rPr>
      </w:pPr>
      <w:r>
        <w:rPr>
          <w:rFonts w:cs="Arial Narrow" w:ascii="Arial Narrow" w:hAnsi="Arial Narrow"/>
          <w:b/>
          <w:sz w:val="18"/>
          <w:u w:val="single"/>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/mnt/main-storage/datasets/enron-docs/doc/072conf_smith_barney_.doc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/mnt/main-storage/datasets/enron-docs/doc/072conf_smith_barney_.doc</w:t>
    </w:r>
    <w:r>
      <w:rPr>
        <w:sz w:val="12"/>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2000-12-13T17:25:00Z</dcterms:created>
  <dc:creator>mheard</dc:creator>
  <dc:description/>
  <dc:language>en-CA</dc:language>
  <cp:lastModifiedBy>spanus</cp:lastModifiedBy>
  <cp:lastPrinted>2000-12-13T14:15:00Z</cp:lastPrinted>
  <dcterms:modified xsi:type="dcterms:W3CDTF">2000-12-13T17:48:00Z</dcterms:modified>
  <cp:revision>4</cp:revision>
  <dc:subject/>
  <dc:title>DRAFT OF 10/15/99</dc:title>
</cp:coreProperties>
</file>