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i/>
          <w:i/>
          <w:sz w:val="16"/>
        </w:rPr>
      </w:pPr>
      <w:r>
        <w:rPr>
          <w:rFonts w:cs="Arial" w:ascii="Arial" w:hAnsi="Arial"/>
          <w:b/>
          <w:i/>
          <w:sz w:val="16"/>
        </w:rPr>
        <w:t>Edward T. Attanasio</w:t>
      </w:r>
    </w:p>
    <w:p>
      <w:pPr>
        <w:pStyle w:val="Normal"/>
        <w:rPr>
          <w:rFonts w:ascii="Arial" w:hAnsi="Arial" w:cs="Arial"/>
          <w:sz w:val="14"/>
        </w:rPr>
      </w:pPr>
      <w:r>
        <w:rPr>
          <w:rFonts w:cs="Arial" w:ascii="Arial" w:hAnsi="Arial"/>
          <w:sz w:val="14"/>
        </w:rPr>
        <w:t>Senior Counsel</w:t>
      </w:r>
    </w:p>
    <w:p>
      <w:pPr>
        <w:pStyle w:val="Normal"/>
        <w:rPr/>
      </w:pPr>
      <w:r>
        <w:rPr>
          <w:rFonts w:cs="Arial" w:ascii="Arial" w:hAnsi="Arial"/>
          <w:sz w:val="16"/>
        </w:rPr>
        <w:t>444 South Flower Street, 31</w:t>
      </w:r>
      <w:r>
        <w:rPr>
          <w:rFonts w:cs="Arial" w:ascii="Arial" w:hAnsi="Arial"/>
          <w:sz w:val="16"/>
          <w:vertAlign w:val="superscript"/>
        </w:rPr>
        <w:t>st</w:t>
      </w:r>
      <w:r>
        <w:rPr>
          <w:rFonts w:cs="Arial" w:ascii="Arial" w:hAnsi="Arial"/>
          <w:sz w:val="16"/>
        </w:rPr>
        <w:t xml:space="preserve"> Floor</w:t>
      </w:r>
    </w:p>
    <w:p>
      <w:pPr>
        <w:pStyle w:val="Normal"/>
        <w:rPr>
          <w:rFonts w:ascii="Arial" w:hAnsi="Arial" w:cs="Arial"/>
          <w:sz w:val="16"/>
        </w:rPr>
      </w:pPr>
      <w:r>
        <w:rPr>
          <w:rFonts w:cs="Arial" w:ascii="Arial" w:hAnsi="Arial"/>
          <w:sz w:val="16"/>
        </w:rPr>
        <w:t>Los Angeles, California 90071</w:t>
      </w:r>
    </w:p>
    <w:p>
      <w:pPr>
        <w:pStyle w:val="Normal"/>
        <w:rPr>
          <w:rFonts w:ascii="Arial" w:hAnsi="Arial" w:cs="Arial"/>
          <w:sz w:val="16"/>
        </w:rPr>
      </w:pPr>
      <w:r>
        <w:rPr>
          <w:rFonts w:cs="Arial" w:ascii="Arial" w:hAnsi="Arial"/>
          <w:sz w:val="16"/>
        </w:rPr>
        <w:t>Direct (213) 553-1599</w:t>
      </w:r>
    </w:p>
    <w:p>
      <w:pPr>
        <w:pStyle w:val="Normal"/>
        <w:rPr>
          <w:rFonts w:ascii="Arial" w:hAnsi="Arial" w:cs="Arial"/>
          <w:sz w:val="16"/>
        </w:rPr>
      </w:pPr>
      <w:r>
        <w:rPr>
          <w:rFonts w:cs="Arial" w:ascii="Arial" w:hAnsi="Arial"/>
          <w:sz w:val="16"/>
        </w:rPr>
        <w:t>Fax    (213) 229-2770</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jc w:val="center"/>
        <w:rPr/>
      </w:pPr>
      <w:r>
        <w:rPr/>
        <w:t>July __, 2001</w:t>
      </w:r>
    </w:p>
    <w:p>
      <w:pPr>
        <w:pStyle w:val="Normal"/>
        <w:jc w:val="center"/>
        <w:rPr/>
      </w:pPr>
      <w:r>
        <w:rPr/>
      </w:r>
    </w:p>
    <w:p>
      <w:pPr>
        <w:pStyle w:val="Normal"/>
        <w:jc w:val="center"/>
        <w:rPr/>
      </w:pPr>
      <w:r>
        <w:rPr/>
      </w:r>
    </w:p>
    <w:p>
      <w:pPr>
        <w:pStyle w:val="Normal"/>
        <w:jc w:val="center"/>
        <w:rPr/>
      </w:pPr>
      <w:r>
        <w:rPr/>
      </w:r>
    </w:p>
    <w:p>
      <w:pPr>
        <w:pStyle w:val="Normal"/>
        <w:rPr/>
      </w:pPr>
      <w:r>
        <w:rPr/>
        <w:t>Koch Oil Company</w:t>
      </w:r>
    </w:p>
    <w:p>
      <w:pPr>
        <w:pStyle w:val="Normal"/>
        <w:rPr/>
      </w:pPr>
      <w:r>
        <w:rPr/>
        <w:t>4111 East 37</w:t>
      </w:r>
      <w:r>
        <w:rPr>
          <w:vertAlign w:val="superscript"/>
        </w:rPr>
        <w:t>th</w:t>
      </w:r>
      <w:r>
        <w:rPr/>
        <w:t xml:space="preserve"> Street North</w:t>
      </w:r>
    </w:p>
    <w:p>
      <w:pPr>
        <w:pStyle w:val="Normal"/>
        <w:rPr/>
      </w:pPr>
      <w:r>
        <w:rPr/>
        <w:t>Wichita, KS  67220</w:t>
      </w:r>
    </w:p>
    <w:p>
      <w:pPr>
        <w:pStyle w:val="Normal"/>
        <w:rPr/>
      </w:pPr>
      <w:r>
        <w:rPr/>
        <w:t>Attn: President</w:t>
      </w:r>
    </w:p>
    <w:p>
      <w:pPr>
        <w:pStyle w:val="Header"/>
        <w:tabs>
          <w:tab w:val="clear" w:pos="4320"/>
          <w:tab w:val="clear" w:pos="8640"/>
        </w:tabs>
        <w:rPr/>
      </w:pPr>
      <w:r>
        <w:rPr/>
      </w:r>
    </w:p>
    <w:p>
      <w:pPr>
        <w:pStyle w:val="Normal"/>
        <w:rPr/>
      </w:pPr>
      <w:r>
        <w:rPr/>
        <w:t>Koch Oil Company</w:t>
      </w:r>
    </w:p>
    <w:p>
      <w:pPr>
        <w:pStyle w:val="Normal"/>
        <w:rPr/>
      </w:pPr>
      <w:r>
        <w:rPr/>
        <w:t>4111 East 37</w:t>
      </w:r>
      <w:r>
        <w:rPr>
          <w:vertAlign w:val="superscript"/>
        </w:rPr>
        <w:t>th</w:t>
      </w:r>
      <w:r>
        <w:rPr/>
        <w:t xml:space="preserve"> Street</w:t>
      </w:r>
    </w:p>
    <w:p>
      <w:pPr>
        <w:pStyle w:val="Normal"/>
        <w:rPr/>
      </w:pPr>
      <w:r>
        <w:rPr/>
        <w:t>Wichita, KS  67220</w:t>
      </w:r>
    </w:p>
    <w:p>
      <w:pPr>
        <w:pStyle w:val="Heading2"/>
        <w:ind w:hanging="0" w:start="0"/>
        <w:rPr/>
      </w:pPr>
      <w:r>
        <w:rPr/>
        <w:t>Attn: Legal Department</w:t>
      </w:r>
    </w:p>
    <w:p>
      <w:pPr>
        <w:pStyle w:val="Date"/>
        <w:jc w:val="start"/>
        <w:rPr>
          <w:sz w:val="24"/>
        </w:rPr>
      </w:pPr>
      <w:r>
        <w:rPr>
          <w:sz w:val="24"/>
        </w:rPr>
        <w:t>Allen Olson, Esq.</w:t>
      </w:r>
    </w:p>
    <w:p>
      <w:pPr>
        <w:pStyle w:val="Normal"/>
        <w:rPr>
          <w:sz w:val="24"/>
        </w:rPr>
      </w:pPr>
      <w:r>
        <w:rPr>
          <w:sz w:val="24"/>
        </w:rPr>
      </w:r>
    </w:p>
    <w:p>
      <w:pPr>
        <w:pStyle w:val="Normal"/>
        <w:rPr/>
      </w:pPr>
      <w:r>
        <w:rPr/>
      </w:r>
    </w:p>
    <w:p>
      <w:pPr>
        <w:pStyle w:val="Date"/>
        <w:ind w:start="1440" w:end="0"/>
        <w:jc w:val="start"/>
        <w:rPr>
          <w:sz w:val="24"/>
        </w:rPr>
      </w:pPr>
      <w:r>
        <w:rPr>
          <w:sz w:val="24"/>
        </w:rPr>
        <w:t>Re:</w:t>
        <w:tab/>
        <w:t>Assertion of Claim for Indemnification for Known Contamination, and Follow-up Regarding Prior Claim</w:t>
        <w:tab/>
      </w:r>
    </w:p>
    <w:p>
      <w:pPr>
        <w:pStyle w:val="Salutation"/>
        <w:spacing w:before="240" w:after="240"/>
        <w:rPr>
          <w:sz w:val="24"/>
        </w:rPr>
      </w:pPr>
      <w:r>
        <w:fldChar w:fldCharType="begin"/>
      </w:r>
      <w:r>
        <w:rPr>
          <w:sz w:val="24"/>
        </w:rPr>
        <w:instrText xml:space="preserve"> AUTOTEXTLIST  </w:instrText>
      </w:r>
      <w:r>
        <w:rPr>
          <w:sz w:val="24"/>
        </w:rPr>
      </w:r>
      <w:r>
        <w:rPr>
          <w:sz w:val="24"/>
        </w:rPr>
        <w:fldChar w:fldCharType="separate"/>
      </w:r>
      <w:r>
        <w:rPr>
          <w:sz w:val="24"/>
        </w:rPr>
        <w:t>Dear Sirs:</w:t>
      </w:r>
      <w:r/>
      <w:r>
        <w:rPr>
          <w:sz w:val="24"/>
        </w:rPr>
        <w:fldChar w:fldCharType="end"/>
      </w:r>
      <w:r>
        <w:rPr>
          <w:sz w:val="24"/>
        </w:rPr>
      </w:r>
    </w:p>
    <w:p>
      <w:pPr>
        <w:pStyle w:val="BodyTextIndent"/>
        <w:tabs>
          <w:tab w:val="clear" w:pos="720"/>
          <w:tab w:val="left" w:pos="-90" w:leader="none"/>
        </w:tabs>
        <w:ind w:firstLine="720" w:start="0" w:end="0"/>
        <w:rPr/>
      </w:pPr>
      <w:r>
        <w:rPr/>
        <w:t>I am writing on behalf of EOTT Energy Operating Limited Partnership and EOTT Energy Partners, L.P. (collectively “EOTT”) to (1) request indemnification pursuant to sections 10.01 and 10.02 of the Purchase and Sale Agreement between EOTT and Koch Pipeline Company and Koch Oil Company, a division of Koch Industries, Inc. (collectively “Koch”) dated September 21, 1998 (the “Agreement”) for a contamination claim; and (2) follow-up on a previous request made by EOTT that Koch remediate, pay for remediation costs, and otherwise fulfill its obligations under the Agreement concerning a previously asserted claim for indemnification for contamination.</w:t>
      </w:r>
    </w:p>
    <w:p>
      <w:pPr>
        <w:pStyle w:val="BodyTextIndent"/>
        <w:tabs>
          <w:tab w:val="clear" w:pos="720"/>
          <w:tab w:val="left" w:pos="-90" w:leader="none"/>
        </w:tabs>
        <w:ind w:firstLine="720" w:start="0" w:end="0"/>
        <w:rPr/>
      </w:pPr>
      <w:r>
        <w:rPr/>
      </w:r>
    </w:p>
    <w:p>
      <w:pPr>
        <w:pStyle w:val="BodyTextIndent"/>
        <w:tabs>
          <w:tab w:val="clear" w:pos="720"/>
          <w:tab w:val="left" w:pos="-90" w:leader="none"/>
        </w:tabs>
        <w:ind w:firstLine="720" w:start="0" w:end="0"/>
        <w:rPr>
          <w:b/>
          <w:u w:val="single"/>
        </w:rPr>
      </w:pPr>
      <w:r>
        <w:rPr>
          <w:b/>
          <w:u w:val="single"/>
        </w:rPr>
        <w:t>Assertion of Claim</w:t>
      </w:r>
    </w:p>
    <w:p>
      <w:pPr>
        <w:pStyle w:val="BodyTextIndent"/>
        <w:tabs>
          <w:tab w:val="clear" w:pos="720"/>
          <w:tab w:val="left" w:pos="-90" w:leader="none"/>
        </w:tabs>
        <w:ind w:firstLine="720" w:start="0" w:end="0"/>
        <w:rPr/>
      </w:pPr>
      <w:r>
        <w:rPr/>
      </w:r>
    </w:p>
    <w:p>
      <w:pPr>
        <w:pStyle w:val="BodyTextIndent"/>
        <w:tabs>
          <w:tab w:val="clear" w:pos="720"/>
          <w:tab w:val="left" w:pos="-90" w:leader="none"/>
        </w:tabs>
        <w:ind w:firstLine="720" w:start="0" w:end="0"/>
        <w:rPr/>
      </w:pPr>
      <w:r>
        <w:rPr/>
        <w:t>EOTT has discovered that certain petroleum hydrocarbon, BETX and/or metals contamination in the soil at the North Coles Levee (“NCL”) and Rogas facilities may require remediation under Applicable Environmental Law Requirements, as that term is defined in the Agreement.  Based upon disclosures contained in Schedule 5.11 to the Agreement and elsewhere, including but not limited to the 1997 document created for Koch by WZI, Inc. entitled “Baseline Environmental Investigation of ARCO North Coles Levee Plant 8, Rogas Loading Facility and Associated Natural Gas Pipeline Systems, Kern County, California” (“WZI Report”), it appears that all of this hazardous substance contamination constitutes “Known Contamination” as defined in the Agreement.  Therefore, to the extent that any remedial activity is necessary, the cost and performance of such activity is the responsibility of Koch pursuant to section 10.02(b) of the Agreement.</w:t>
      </w:r>
    </w:p>
    <w:p>
      <w:pPr>
        <w:pStyle w:val="BodyTextIndent"/>
        <w:tabs>
          <w:tab w:val="clear" w:pos="720"/>
          <w:tab w:val="left" w:pos="-90" w:leader="none"/>
        </w:tabs>
        <w:ind w:firstLine="720" w:start="0" w:end="0"/>
        <w:rPr/>
      </w:pPr>
      <w:r>
        <w:rPr/>
      </w:r>
    </w:p>
    <w:p>
      <w:pPr>
        <w:pStyle w:val="BodyTextIndent"/>
        <w:tabs>
          <w:tab w:val="clear" w:pos="720"/>
          <w:tab w:val="left" w:pos="-90" w:leader="none"/>
        </w:tabs>
        <w:ind w:firstLine="720" w:start="0" w:end="0"/>
        <w:rPr/>
      </w:pPr>
      <w:r>
        <w:rPr/>
        <w:t xml:space="preserve">A review of the available information leads EOTT to believe that the petroleum hydrocarbon contamination may constitute a threat to groundwater, while the other contamination may pose a potential threat to human health at the surface.  However, further characterization of the extent and concentrations of the presence of these substances in the soil, as well as the depth to groundwater and other pertinent information, must be determined in order to reach a conclusion on these matters.  </w:t>
      </w:r>
    </w:p>
    <w:p>
      <w:pPr>
        <w:pStyle w:val="BodyTextIndent"/>
        <w:tabs>
          <w:tab w:val="clear" w:pos="720"/>
          <w:tab w:val="left" w:pos="-90" w:leader="none"/>
        </w:tabs>
        <w:ind w:firstLine="720" w:start="0" w:end="0"/>
        <w:rPr/>
      </w:pPr>
      <w:r>
        <w:rPr/>
      </w:r>
    </w:p>
    <w:p>
      <w:pPr>
        <w:pStyle w:val="BodyTextIndent"/>
        <w:tabs>
          <w:tab w:val="clear" w:pos="720"/>
          <w:tab w:val="left" w:pos="-90" w:leader="none"/>
        </w:tabs>
        <w:ind w:firstLine="720" w:start="0" w:end="0"/>
        <w:rPr/>
      </w:pPr>
      <w:r>
        <w:rPr/>
        <w:t xml:space="preserve">In accordance with the Agreement, EOTT formally requests that Koch perform this work; alternatively, EOTT will perform this work at Koch’s expense.  Please respond at your earliest opportunity informing EOTT how you wish to proceed. </w:t>
      </w:r>
    </w:p>
    <w:p>
      <w:pPr>
        <w:pStyle w:val="BodyTextIndent"/>
        <w:tabs>
          <w:tab w:val="clear" w:pos="720"/>
          <w:tab w:val="left" w:pos="-90" w:leader="none"/>
        </w:tabs>
        <w:ind w:firstLine="720" w:start="0" w:end="0"/>
        <w:rPr/>
      </w:pPr>
      <w:r>
        <w:rPr/>
      </w:r>
    </w:p>
    <w:p>
      <w:pPr>
        <w:pStyle w:val="BodyTextIndent"/>
        <w:tabs>
          <w:tab w:val="clear" w:pos="720"/>
          <w:tab w:val="left" w:pos="-90" w:leader="none"/>
        </w:tabs>
        <w:ind w:firstLine="720" w:start="0" w:end="0"/>
        <w:rPr>
          <w:b/>
          <w:u w:val="single"/>
        </w:rPr>
      </w:pPr>
      <w:r>
        <w:rPr>
          <w:b/>
          <w:u w:val="single"/>
        </w:rPr>
        <w:t>Follow Up on Prior Demand</w:t>
      </w:r>
    </w:p>
    <w:p>
      <w:pPr>
        <w:pStyle w:val="BodyTextIndent"/>
        <w:tabs>
          <w:tab w:val="clear" w:pos="720"/>
          <w:tab w:val="left" w:pos="-90" w:leader="none"/>
        </w:tabs>
        <w:ind w:firstLine="720" w:start="0" w:end="0"/>
        <w:rPr/>
      </w:pPr>
      <w:r>
        <w:rPr/>
      </w:r>
    </w:p>
    <w:p>
      <w:pPr>
        <w:pStyle w:val="BodyTextIndent"/>
        <w:tabs>
          <w:tab w:val="clear" w:pos="720"/>
          <w:tab w:val="left" w:pos="-90" w:leader="none"/>
        </w:tabs>
        <w:ind w:firstLine="720" w:start="0" w:end="0"/>
        <w:rPr/>
      </w:pPr>
      <w:r>
        <w:rPr/>
        <w:t xml:space="preserve">On July 7, 2000 EOTT requested indemnification from Koch for certain other soil contamination discovered at NCL, specifically, petroleum hydrocarbon contamination in the area of the truck loading rack, and mercury contamination in the vicinity of what is known as the old meter shop.  Because it was not entirely clear at that time whether the contamination in question was Known or Unknown, as defined in the Agreement, EOTT invited Koch’s participation in selecting a consultant and developing a plan for characterization, which was carried out. Pursuant to that cooperative effort, West Coast Environmental performed characterization activities.  It now appearing abundantly clear that the contamination in question was Known Contamination, EOTT subsequently requested that Koch (1) undertake the remediation of this contamination and (2) reimburse EOTT for the $33,924.51 expended in the joint effort.  </w:t>
      </w:r>
    </w:p>
    <w:p>
      <w:pPr>
        <w:pStyle w:val="BodyTextIndent"/>
        <w:tabs>
          <w:tab w:val="clear" w:pos="720"/>
          <w:tab w:val="left" w:pos="-90" w:leader="none"/>
        </w:tabs>
        <w:ind w:firstLine="720" w:start="0" w:end="0"/>
        <w:rPr/>
      </w:pPr>
      <w:r>
        <w:rPr/>
      </w:r>
    </w:p>
    <w:p>
      <w:pPr>
        <w:pStyle w:val="BodyTextIndent"/>
        <w:tabs>
          <w:tab w:val="clear" w:pos="720"/>
          <w:tab w:val="left" w:pos="-90" w:leader="none"/>
        </w:tabs>
        <w:ind w:firstLine="720" w:start="0" w:end="0"/>
        <w:rPr/>
      </w:pPr>
      <w:r>
        <w:rPr/>
        <w:t>Koch has as yet still not responded to these requests.  While EOTT is aware and appreciates that Koch has demanded that ARCO perform the requested remedial activities, EOTT’s position is that Koch is responsible to remediate this contamination promptly, regardless of any action or inaction of ARCO or its successors.</w:t>
      </w:r>
    </w:p>
    <w:p>
      <w:pPr>
        <w:pStyle w:val="BodyTextIndent"/>
        <w:tabs>
          <w:tab w:val="clear" w:pos="720"/>
          <w:tab w:val="left" w:pos="-90" w:leader="none"/>
        </w:tabs>
        <w:ind w:firstLine="720" w:start="0" w:end="0"/>
        <w:rPr/>
      </w:pPr>
      <w:r>
        <w:rPr/>
      </w:r>
    </w:p>
    <w:p>
      <w:pPr>
        <w:pStyle w:val="BodyTextIndent"/>
        <w:tabs>
          <w:tab w:val="clear" w:pos="720"/>
          <w:tab w:val="left" w:pos="-90" w:leader="none"/>
        </w:tabs>
        <w:ind w:firstLine="720" w:start="0" w:end="0"/>
        <w:rPr/>
      </w:pPr>
      <w:r>
        <w:rPr/>
        <w:t>EOTT therefore requests that Koch remit the requested funds and perform the requested remedial activities. Regarding the latter, EOTT requests that Koch notify it of its plan for remediation prior to _________, 2001.  Otherwise, EOTT will assume that Koch wishes that EOTT perform these activities on Koch’s behalf.</w:t>
      </w:r>
    </w:p>
    <w:p>
      <w:pPr>
        <w:pStyle w:val="BodyTextIndent"/>
        <w:tabs>
          <w:tab w:val="clear" w:pos="720"/>
          <w:tab w:val="left" w:pos="-90" w:leader="none"/>
        </w:tabs>
        <w:ind w:hanging="720" w:end="0"/>
        <w:rPr/>
      </w:pPr>
      <w:r>
        <w:rPr/>
      </w:r>
    </w:p>
    <w:p>
      <w:pPr>
        <w:pStyle w:val="BodyTextIndent"/>
        <w:tabs>
          <w:tab w:val="clear" w:pos="720"/>
          <w:tab w:val="left" w:pos="-90" w:leader="none"/>
        </w:tabs>
        <w:ind w:hanging="720" w:end="0"/>
        <w:rPr/>
      </w:pPr>
      <w:r>
        <w:rPr/>
      </w:r>
    </w:p>
    <w:p>
      <w:pPr>
        <w:pStyle w:val="BodyTextIndent"/>
        <w:tabs>
          <w:tab w:val="clear" w:pos="720"/>
          <w:tab w:val="left" w:pos="-90" w:leader="none"/>
        </w:tabs>
        <w:ind w:hanging="720" w:end="0"/>
        <w:rPr/>
      </w:pPr>
      <w:r>
        <w:rPr/>
      </w:r>
    </w:p>
    <w:p>
      <w:pPr>
        <w:pStyle w:val="BodyTextIndent"/>
        <w:tabs>
          <w:tab w:val="clear" w:pos="720"/>
          <w:tab w:val="left" w:pos="-90" w:leader="none"/>
        </w:tabs>
        <w:ind w:hanging="720" w:end="0"/>
        <w:rPr/>
      </w:pPr>
      <w:r>
        <w:rPr/>
      </w:r>
    </w:p>
    <w:p>
      <w:pPr>
        <w:pStyle w:val="BodyTextIndent"/>
        <w:tabs>
          <w:tab w:val="clear" w:pos="720"/>
          <w:tab w:val="left" w:pos="-90" w:leader="none"/>
        </w:tabs>
        <w:ind w:hanging="720" w:end="0"/>
        <w:rPr/>
      </w:pPr>
      <w:r>
        <w:rPr/>
      </w:r>
    </w:p>
    <w:p>
      <w:pPr>
        <w:pStyle w:val="BodyTextIndent"/>
        <w:tabs>
          <w:tab w:val="clear" w:pos="720"/>
          <w:tab w:val="left" w:pos="-90" w:leader="none"/>
        </w:tabs>
        <w:ind w:firstLine="720" w:start="0" w:end="0"/>
        <w:rPr/>
      </w:pPr>
      <w:r>
        <w:rPr/>
        <w:t xml:space="preserve">Thank you for your continued courtesy and cooperation regarding these important matters.  I look forward to hearing from you. </w:t>
      </w:r>
    </w:p>
    <w:p>
      <w:pPr>
        <w:pStyle w:val="Normal"/>
        <w:jc w:val="both"/>
        <w:rPr/>
      </w:pPr>
      <w:r>
        <w:rPr/>
        <w:tab/>
      </w:r>
    </w:p>
    <w:p>
      <w:pPr>
        <w:pStyle w:val="Normal"/>
        <w:jc w:val="both"/>
        <w:rPr/>
      </w:pPr>
      <w:r>
        <w:rPr/>
      </w:r>
    </w:p>
    <w:p>
      <w:pPr>
        <w:pStyle w:val="Normal"/>
        <w:keepNext w:val="true"/>
        <w:jc w:val="both"/>
        <w:rPr/>
      </w:pPr>
      <w:r>
        <w:rPr/>
        <w:tab/>
        <w:tab/>
        <w:tab/>
        <w:tab/>
        <w:tab/>
        <w:tab/>
        <w:tab/>
        <w:tab/>
        <w:t>Very truly yours,</w:t>
      </w:r>
    </w:p>
    <w:p>
      <w:pPr>
        <w:pStyle w:val="Normal"/>
        <w:keepNext w:val="true"/>
        <w:jc w:val="both"/>
        <w:rPr/>
      </w:pPr>
      <w:r>
        <w:rPr/>
      </w:r>
    </w:p>
    <w:p>
      <w:pPr>
        <w:pStyle w:val="Normal"/>
        <w:keepNext w:val="true"/>
        <w:jc w:val="both"/>
        <w:rPr/>
      </w:pPr>
      <w:r>
        <w:rPr/>
      </w:r>
    </w:p>
    <w:p>
      <w:pPr>
        <w:pStyle w:val="Normal"/>
        <w:keepNext w:val="true"/>
        <w:jc w:val="both"/>
        <w:rPr/>
      </w:pPr>
      <w:r>
        <w:rPr/>
      </w:r>
    </w:p>
    <w:p>
      <w:pPr>
        <w:pStyle w:val="Normal"/>
        <w:keepNext w:val="true"/>
        <w:jc w:val="both"/>
        <w:rPr/>
      </w:pPr>
      <w:r>
        <w:rPr/>
        <w:tab/>
        <w:tab/>
        <w:tab/>
        <w:tab/>
        <w:tab/>
        <w:tab/>
        <w:tab/>
        <w:tab/>
        <w:t>Edward T. Attanasio</w:t>
      </w:r>
    </w:p>
    <w:p>
      <w:pPr>
        <w:pStyle w:val="Normal"/>
        <w:jc w:val="both"/>
        <w:rPr/>
      </w:pPr>
      <w:r>
        <w:rPr/>
      </w:r>
    </w:p>
    <w:p>
      <w:pPr>
        <w:pStyle w:val="Normal"/>
        <w:jc w:val="both"/>
        <w:rPr/>
      </w:pPr>
      <w:r>
        <w:rPr/>
      </w:r>
    </w:p>
    <w:p>
      <w:pPr>
        <w:pStyle w:val="Normal"/>
        <w:jc w:val="both"/>
        <w:rPr/>
      </w:pPr>
      <w:r>
        <w:rPr/>
        <w:t>CC:</w:t>
        <w:tab/>
        <w:t>Larry Campbell</w:t>
      </w:r>
    </w:p>
    <w:p>
      <w:pPr>
        <w:pStyle w:val="Normal"/>
        <w:jc w:val="both"/>
        <w:rPr/>
      </w:pPr>
      <w:r>
        <w:rPr/>
        <w:tab/>
        <w:t>Scott Jones</w:t>
      </w:r>
    </w:p>
    <w:p>
      <w:pPr>
        <w:pStyle w:val="Normal"/>
        <w:jc w:val="both"/>
        <w:rPr/>
      </w:pPr>
      <w:r>
        <w:rPr/>
        <w:tab/>
        <w:t>Frank Van Ryn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BC:</w:t>
        <w:tab/>
        <w:t>Molly Sample, Esq.</w:t>
      </w:r>
    </w:p>
    <w:p>
      <w:pPr>
        <w:pStyle w:val="Normal"/>
        <w:ind w:firstLine="720" w:end="0"/>
        <w:jc w:val="both"/>
        <w:rPr/>
      </w:pPr>
      <w:r>
        <w:rPr/>
        <w:t>Bob Jacobs</w:t>
      </w:r>
    </w:p>
    <w:p>
      <w:pPr>
        <w:pStyle w:val="Normal"/>
        <w:jc w:val="both"/>
        <w:rPr/>
      </w:pPr>
      <w:r>
        <w:rPr/>
        <w:tab/>
        <w:t>Louis Soldano, Esq.</w:t>
      </w:r>
    </w:p>
    <w:p>
      <w:pPr>
        <w:pStyle w:val="Normal"/>
        <w:jc w:val="both"/>
        <w:rPr/>
      </w:pPr>
      <w:r>
        <w:rPr/>
        <w:tab/>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0725a102.doc</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of 3</w:t>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outlineLvl w:val="1"/>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Salutation">
    <w:name w:val="Salutation"/>
    <w:basedOn w:val="Normal"/>
    <w:next w:val="BodyText"/>
    <w:qFormat/>
    <w:pPr>
      <w:spacing w:before="0" w:after="240"/>
    </w:pPr>
    <w:rPr>
      <w:sz w:val="26"/>
    </w:rPr>
  </w:style>
  <w:style w:type="paragraph" w:styleId="Date">
    <w:name w:val="Date"/>
    <w:basedOn w:val="Normal"/>
    <w:next w:val="Normal"/>
    <w:qFormat/>
    <w:pPr>
      <w:jc w:val="center"/>
    </w:pPr>
    <w:rPr>
      <w:sz w:val="26"/>
    </w:rPr>
  </w:style>
  <w:style w:type="paragraph" w:styleId="BodyTextIndent">
    <w:name w:val="Body Text Indent"/>
    <w:basedOn w:val="Normal"/>
    <w:pPr>
      <w:tabs>
        <w:tab w:val="left" w:pos="720" w:leader="none"/>
      </w:tabs>
      <w:ind w:hanging="1440" w:start="72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MMSLtr.dot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2001-07-25T20:10:00Z</dcterms:created>
  <dc:creator>Autumn Cartier</dc:creator>
  <dc:description/>
  <dc:language>en-CA</dc:language>
  <cp:lastModifiedBy>Edward T. Attanasio</cp:lastModifiedBy>
  <cp:lastPrinted>2001-07-25T16:46:00Z</cp:lastPrinted>
  <dcterms:modified xsi:type="dcterms:W3CDTF">2001-07-25T21:16:00Z</dcterms:modified>
  <cp:revision>5</cp:revision>
  <dc:subject/>
  <dc:title>Form Letter - Molly Sample</dc:title>
</cp:coreProperties>
</file>