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sz w:val="22"/>
          <w:szCs w:val="22"/>
          <w:u w:val="single"/>
        </w:rPr>
      </w:pPr>
      <w:r>
        <w:rPr>
          <w:b/>
          <w:bCs/>
          <w:sz w:val="22"/>
          <w:szCs w:val="22"/>
          <w:u w:val="single"/>
        </w:rPr>
        <w:t>DRAFT OF 01/24/2001</w:t>
      </w:r>
    </w:p>
    <w:p>
      <w:pPr>
        <w:pStyle w:val="Normal"/>
        <w:jc w:val="end"/>
        <w:rPr>
          <w:b/>
          <w:bCs/>
          <w:sz w:val="22"/>
          <w:szCs w:val="22"/>
          <w:u w:val="single"/>
        </w:rPr>
      </w:pPr>
      <w:r>
        <w:rPr>
          <w:b/>
          <w:bCs/>
          <w:sz w:val="22"/>
          <w:szCs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05"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New Roman Bold;Times New Roman" w:ascii="Times New Roman Bold;Times New Roman" w:hAnsi="Times New Roman Bold;Times New Roman"/>
                <w:b/>
                <w:bCs/>
                <w:caps/>
                <w:sz w:val="22"/>
                <w:szCs w:val="22"/>
              </w:rPr>
              <w:t xml:space="preserve">Consolidated Edison Company of New York, Inc., </w:t>
            </w:r>
            <w:r>
              <w:rPr>
                <w:b/>
                <w:bCs/>
                <w:sz w:val="22"/>
                <w:szCs w:val="22"/>
              </w:rPr>
              <w:t xml:space="preserve">a corporation organized under the law of the State of ________ </w:t>
            </w:r>
          </w:p>
          <w:p>
            <w:pPr>
              <w:pStyle w:val="Expanded"/>
              <w:tabs>
                <w:tab w:val="clear" w:pos="720"/>
                <w:tab w:val="center" w:pos="5760" w:leader="none"/>
              </w:tabs>
              <w:spacing w:before="0" w:after="0"/>
              <w:rPr>
                <w:caps w:val="false"/>
                <w:smallCaps w:val="false"/>
                <w:color w:val="808000"/>
                <w:spacing w:val="0"/>
              </w:rPr>
            </w:pPr>
            <w:r>
              <w:rPr>
                <w:caps w:val="false"/>
                <w:smallCaps w:val="false"/>
                <w:spacing w:val="0"/>
              </w:rPr>
              <w:t>(“Party B”)</w:t>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 (or its equivalent in another currency); with respect to Party A’s Credit Support Provider, U.S. $100,000,000 (or its equivalent in another currency); and with respect to Party B, U.S. $100,000,000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before="240" w:after="0"/>
        <w:jc w:val="both"/>
        <w:rPr>
          <w:b/>
          <w:bCs/>
          <w:sz w:val="22"/>
          <w:szCs w:val="22"/>
        </w:rPr>
      </w:pPr>
      <w:r>
        <w:rPr>
          <w:b/>
          <w:bCs/>
          <w:sz w:val="22"/>
          <w:szCs w:val="22"/>
        </w:rPr>
        <w:t>Part 2.</w:t>
        <w:tab/>
        <w:t>Tax Representations.</w:t>
      </w:r>
    </w:p>
    <w:p>
      <w:pPr>
        <w:pStyle w:val="Norma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spacing w:lineRule="exact" w:line="240" w:before="240" w:after="0"/>
        <w:ind w:hanging="720" w:start="900" w:end="0"/>
        <w:jc w:val="both"/>
        <w:rPr>
          <w:sz w:val="22"/>
          <w:szCs w:val="22"/>
        </w:rPr>
      </w:pPr>
      <w:r>
        <w:rPr>
          <w:sz w:val="22"/>
          <w:szCs w:val="22"/>
        </w:rPr>
        <w:t>(i)</w:t>
        <w:tab/>
        <w:t>The following representation applies to Party A:</w:t>
      </w:r>
    </w:p>
    <w:p>
      <w:pPr>
        <w:pStyle w:val="Normal"/>
        <w:spacing w:lineRule="exact" w:line="240" w:before="240" w:after="0"/>
        <w:ind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720" w:start="900" w:end="0"/>
        <w:jc w:val="both"/>
        <w:rPr>
          <w:sz w:val="22"/>
          <w:szCs w:val="22"/>
        </w:rPr>
      </w:pPr>
      <w:r>
        <w:rPr>
          <w:sz w:val="22"/>
          <w:szCs w:val="22"/>
        </w:rPr>
        <w:t>(ii)</w:t>
        <w:tab/>
        <w:t>The following representation applies to Party B:</w:t>
      </w:r>
    </w:p>
    <w:p>
      <w:pPr>
        <w:pStyle w:val="Normal"/>
        <w:spacing w:lineRule="exact" w:line="240" w:before="240" w:after="0"/>
        <w:ind w:start="900" w:end="0"/>
        <w:jc w:val="both"/>
        <w:rPr>
          <w:sz w:val="22"/>
          <w:szCs w:val="22"/>
        </w:rPr>
      </w:pPr>
      <w:r>
        <w:rPr>
          <w:sz w:val="22"/>
          <w:szCs w:val="22"/>
        </w:rPr>
        <w:t>Party B is a corporation organized under the laws of the State of ___________________.</w:t>
      </w:r>
    </w:p>
    <w:p>
      <w:pPr>
        <w:pStyle w:val="Heading4"/>
        <w:spacing w:before="240" w:after="0"/>
        <w:ind w:hanging="0" w:start="0"/>
        <w:rPr/>
      </w:pPr>
      <w:r>
        <w:rPr/>
        <w:t>Part 3.</w:t>
        <w:tab/>
        <w:t>Agreement to Deliver Documents</w:t>
      </w:r>
    </w:p>
    <w:p>
      <w:pPr>
        <w:pStyle w:val="Normal"/>
        <w:spacing w:lineRule="exact" w:line="240" w:before="240" w:after="0"/>
        <w:ind w:firstLine="720" w:end="0"/>
        <w:jc w:val="both"/>
        <w:rPr>
          <w:color w:val="000000"/>
          <w:sz w:val="22"/>
          <w:szCs w:val="22"/>
        </w:rPr>
      </w:pPr>
      <w:r>
        <w:rPr>
          <w:sz w:val="22"/>
          <w:szCs w:val="22"/>
        </w:rPr>
        <w:t>For the purpose of Section 4(a), each party agrees to deliver the following documents, as applicable:</w:t>
      </w:r>
    </w:p>
    <w:p>
      <w:pPr>
        <w:pStyle w:val="Justified"/>
        <w:widowControl/>
        <w:tabs>
          <w:tab w:val="left" w:pos="720" w:leader="none"/>
        </w:tabs>
        <w:spacing w:lineRule="exact" w:line="240" w:before="240" w:after="0"/>
        <w:rPr>
          <w:rFonts w:ascii="Times New Roman" w:hAnsi="Times New Roman" w:cs="Times New Roman"/>
        </w:rPr>
      </w:pPr>
      <w:r>
        <w:rPr>
          <w:rFonts w:cs="Times New Roman" w:ascii="Times New Roman" w:hAnsi="Times New Roman"/>
        </w:rPr>
        <w:t>(a)</w:t>
        <w:tab/>
        <w:t>Tax forms, documents, or certificates to be delivered are:  United States Internal Revenue Service Form W</w:t>
        <w:noBreakHyphen/>
        <w:t>9.</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 if such Financial Statement is not available on “EDGAR” or Party B’s home page on the World Wide Web at www.coned.com</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spacing w:lineRule="atLeast" w:line="240" w:before="240" w:after="0"/>
              <w:rPr>
                <w:sz w:val="22"/>
                <w:szCs w:val="22"/>
              </w:rPr>
            </w:pPr>
            <w:r>
              <w:rPr>
                <w:sz w:val="22"/>
                <w:szCs w:val="22"/>
              </w:rPr>
              <w:t xml:space="preserve">Promptly following demand by Party A, </w:t>
            </w:r>
            <w:r>
              <w:rPr>
                <w:sz w:val="22"/>
              </w:rPr>
              <w:t>if such Financial Statement is not available on “EDGAR” or Party B’s home page on the World Wide Web at www.coned.com</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rHeight w:val="1350" w:hRule="atLeast"/>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Consolidated Edison Company of New York, Inc.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hanging="720" w:start="720" w:end="0"/>
        <w:jc w:val="both"/>
        <w:rPr>
          <w:sz w:val="22"/>
          <w:szCs w:val="22"/>
        </w:rPr>
      </w:pPr>
      <w:r>
        <w:rPr>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(i) if Party A is the Non-defaulting Party or the non-Affected Party, then the Non-defaulting Party or the non-Affected Party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and (ii) if Party B is the Non-defaulting Party or the non-Affected Party, then the Non-defaulting Party or the non-Affected Party (in either case, “X”) may, at its option and in its discretion, setoff, against any amounts owed to the Defaulting Party or Affected Party (in either case, “Y”) in Dollars or any other currency by X, any amounts owed in Dollars or any other currency by Y to X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szCs w:val="22"/>
        </w:rPr>
      </w:pPr>
      <w:r>
        <w:rPr>
          <w:sz w:val="22"/>
          <w:szCs w:val="22"/>
        </w:rPr>
      </w:r>
    </w:p>
    <w:p>
      <w:pPr>
        <w:pStyle w:val="Normal"/>
        <w:spacing w:lineRule="exact" w:line="240"/>
        <w:ind w:firstLine="720" w:end="0"/>
        <w:jc w:val="both"/>
        <w:rPr/>
      </w:pPr>
      <w:r>
        <w:rPr>
          <w:sz w:val="22"/>
          <w:szCs w:val="22"/>
        </w:rPr>
        <w:t>(m)</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lineRule="exact" w:line="240" w:before="240" w:after="0"/>
        <w:ind w:firstLine="720" w:end="0"/>
        <w:jc w:val="both"/>
        <w:rPr/>
      </w:pPr>
      <w:r>
        <w:rPr>
          <w:sz w:val="22"/>
          <w:szCs w:val="22"/>
        </w:rPr>
        <w:t xml:space="preserve">(n) </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w:t>
      </w:r>
    </w:p>
    <w:p>
      <w:pPr>
        <w:pStyle w:val="Norma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FF0000"/>
                <w:sz w:val="22"/>
                <w:szCs w:val="22"/>
              </w:rPr>
            </w:pPr>
            <w:r>
              <w:rPr>
                <w:b/>
                <w:bCs/>
                <w:color w:val="FF0000"/>
                <w:sz w:val="22"/>
                <w:szCs w:val="22"/>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rFonts w:ascii="Times New Roman Bold;Times New Roman" w:hAnsi="Times New Roman Bold;Times New Roman" w:cs="Times New Roman Bold;Times New Roman"/>
                <w:b/>
                <w:caps/>
                <w:sz w:val="22"/>
                <w:szCs w:val="22"/>
              </w:rPr>
            </w:pPr>
            <w:r>
              <w:rPr>
                <w:rFonts w:cs="Times New Roman Bold;Times New Roman" w:ascii="Times New Roman Bold;Times New Roman" w:hAnsi="Times New Roman Bold;Times New Roman"/>
                <w:b/>
                <w:caps/>
                <w:sz w:val="22"/>
                <w:szCs w:val="22"/>
              </w:rPr>
              <w:t>Consolidated Edison company of new york, inc.</w:t>
            </w:r>
          </w:p>
          <w:p>
            <w:pPr>
              <w:pStyle w:val="Normal"/>
              <w:keepNext w:val="true"/>
              <w:spacing w:lineRule="exact" w:line="240"/>
              <w:jc w:val="both"/>
              <w:rPr>
                <w:rFonts w:ascii="Times New Roman Bold;Times New Roman" w:hAnsi="Times New Roman Bold;Times New Roman" w:cs="Times New Roman Bold;Times New Roman"/>
                <w:b/>
                <w:caps/>
                <w:sz w:val="22"/>
                <w:szCs w:val="22"/>
              </w:rPr>
            </w:pPr>
            <w:r>
              <w:rPr>
                <w:rFonts w:cs="Times New Roman Bold;Times New Roman" w:ascii="Times New Roman Bold;Times New Roman" w:hAnsi="Times New Roman Bold;Times New Roman"/>
                <w:b/>
                <w:caps/>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200_</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377" w:hRule="atLeast"/>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pPr>
            <w:r>
              <w:rPr>
                <w:rFonts w:cs="Times New Roman Bold;Times New Roman" w:ascii="Times New Roman Bold;Times New Roman" w:hAnsi="Times New Roman Bold;Times New Roman"/>
                <w:b/>
                <w:bCs/>
                <w:caps/>
                <w:sz w:val="22"/>
                <w:szCs w:val="22"/>
              </w:rPr>
              <w:t>Consolidated Edison company of new york, inc</w:t>
            </w:r>
            <w:r>
              <w:rPr>
                <w:b/>
                <w:bCs/>
                <w:sz w:val="22"/>
                <w:szCs w:val="22"/>
              </w:rPr>
              <w:t xml:space="preserve">., a corporation organized under the law of the State of ________ </w:t>
            </w:r>
          </w:p>
          <w:p>
            <w:pPr>
              <w:pStyle w:val="BodyText3"/>
              <w:tabs>
                <w:tab w:val="clear" w:pos="720"/>
                <w:tab w:val="center" w:pos="5760" w:leader="none"/>
              </w:tabs>
              <w:spacing w:before="0" w:after="0"/>
              <w:rPr>
                <w:b w:val="false"/>
                <w:bCs w:val="false"/>
                <w:color w:val="808000"/>
              </w:rPr>
            </w:pPr>
            <w:r>
              <w:rPr/>
              <w:t>(“Party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color w:val="993300"/>
          <w:sz w:val="22"/>
          <w:szCs w:val="22"/>
        </w:rPr>
      </w:pPr>
      <w:r>
        <w:rPr>
          <w:color w:val="9933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a party (a) the amount set forth opposite the lowest Credit Rating for the party (or in the case of Party A, Enron Corp.) on the relevant date of determination; or (b) zero if on the relevant date of determination (i) the entity referred to in clause (a) above does not have a Credit Rating from either S&amp;P or Moody's, or (ii) a Material Adverse Change, an Event of Default or Potential Event of Default with respect to such party has occurred and is continuing:</w:t>
      </w:r>
    </w:p>
    <w:p>
      <w:pPr>
        <w:pStyle w:val="Normal"/>
        <w:ind w:hanging="720" w:start="2160" w:end="0"/>
        <w:jc w:val="both"/>
        <w:rPr>
          <w:color w:val="000000"/>
          <w:sz w:val="22"/>
          <w:szCs w:val="22"/>
        </w:rPr>
      </w:pPr>
      <w:r>
        <w:rPr>
          <w:color w:val="000000"/>
          <w:sz w:val="22"/>
          <w:szCs w:val="22"/>
        </w:rPr>
      </w:r>
    </w:p>
    <w:p>
      <w:pPr>
        <w:pStyle w:val="Normal"/>
        <w:ind w:hanging="720" w:start="2160" w:end="0"/>
        <w:jc w:val="both"/>
        <w:rPr>
          <w:sz w:val="22"/>
          <w:szCs w:val="22"/>
        </w:rPr>
      </w:pPr>
      <w:r>
        <w:rPr>
          <w:sz w:val="22"/>
          <w:szCs w:val="22"/>
        </w:rPr>
      </w:r>
    </w:p>
    <w:tbl>
      <w:tblPr>
        <w:tblW w:w="8208" w:type="dxa"/>
        <w:jc w:val="start"/>
        <w:tblInd w:w="1368" w:type="dxa"/>
        <w:tblLayout w:type="fixed"/>
        <w:tblCellMar>
          <w:top w:w="0" w:type="dxa"/>
          <w:start w:w="108" w:type="dxa"/>
          <w:bottom w:w="0" w:type="dxa"/>
          <w:end w:w="108" w:type="dxa"/>
        </w:tblCellMar>
      </w:tblPr>
      <w:tblGrid>
        <w:gridCol w:w="2070"/>
        <w:gridCol w:w="2409"/>
        <w:gridCol w:w="1828"/>
        <w:gridCol w:w="1901"/>
      </w:tblGrid>
      <w:tr>
        <w:trPr/>
        <w:tc>
          <w:tcPr>
            <w:tcW w:w="2070" w:type="dxa"/>
            <w:tcBorders/>
          </w:tcPr>
          <w:p>
            <w:pPr>
              <w:pStyle w:val="Normal"/>
              <w:rPr>
                <w:b/>
                <w:bCs/>
                <w:sz w:val="22"/>
                <w:szCs w:val="22"/>
                <w:u w:val="single"/>
              </w:rPr>
            </w:pPr>
            <w:r>
              <w:rPr>
                <w:b/>
                <w:bCs/>
                <w:sz w:val="22"/>
                <w:szCs w:val="22"/>
                <w:u w:val="single"/>
              </w:rPr>
              <w:t>PARTY A</w:t>
            </w:r>
          </w:p>
          <w:p>
            <w:pPr>
              <w:pStyle w:val="Normal"/>
              <w:rPr>
                <w:sz w:val="22"/>
                <w:szCs w:val="22"/>
              </w:rPr>
            </w:pPr>
            <w:r>
              <w:rPr>
                <w:b/>
                <w:bCs/>
                <w:sz w:val="22"/>
                <w:szCs w:val="22"/>
                <w:u w:val="single"/>
              </w:rPr>
              <w:t>THRESHOLD</w:t>
            </w:r>
          </w:p>
        </w:tc>
        <w:tc>
          <w:tcPr>
            <w:tcW w:w="2409" w:type="dxa"/>
            <w:tcBorders/>
          </w:tcPr>
          <w:p>
            <w:pPr>
              <w:pStyle w:val="BodyTextIndent2"/>
              <w:ind w:hanging="0" w:end="0"/>
              <w:jc w:val="start"/>
              <w:rPr>
                <w:b/>
                <w:bCs/>
                <w:u w:val="single"/>
              </w:rPr>
            </w:pPr>
            <w:r>
              <w:rPr>
                <w:b/>
                <w:bCs/>
                <w:u w:val="single"/>
              </w:rPr>
              <w:t>PARTY B</w:t>
            </w:r>
          </w:p>
          <w:p>
            <w:pPr>
              <w:pStyle w:val="BodyTextIndent2"/>
              <w:ind w:hanging="0" w:end="0"/>
              <w:jc w:val="start"/>
              <w:rPr>
                <w:b/>
                <w:bCs/>
                <w:u w:val="single"/>
              </w:rPr>
            </w:pPr>
            <w:r>
              <w:rPr>
                <w:b/>
                <w:bCs/>
                <w:u w:val="single"/>
              </w:rPr>
              <w:t>THRESHOLD</w:t>
            </w:r>
          </w:p>
        </w:tc>
        <w:tc>
          <w:tcPr>
            <w:tcW w:w="1828" w:type="dxa"/>
            <w:tcBorders/>
          </w:tcPr>
          <w:p>
            <w:pPr>
              <w:pStyle w:val="BodyTextIndent2"/>
              <w:ind w:hanging="0" w:end="0"/>
              <w:jc w:val="start"/>
              <w:rPr>
                <w:b/>
                <w:bCs/>
                <w:u w:val="single"/>
              </w:rPr>
            </w:pPr>
            <w:r>
              <w:rPr>
                <w:b/>
                <w:bCs/>
                <w:u w:val="single"/>
              </w:rPr>
              <w:t>S&amp;P CREDIT RATING</w:t>
            </w:r>
          </w:p>
          <w:p>
            <w:pPr>
              <w:pStyle w:val="Normal"/>
              <w:ind w:start="-18" w:end="0"/>
              <w:rPr>
                <w:b/>
                <w:bCs/>
                <w:sz w:val="22"/>
                <w:szCs w:val="22"/>
                <w:u w:val="single"/>
              </w:rPr>
            </w:pPr>
            <w:r>
              <w:rPr>
                <w:b/>
                <w:bCs/>
                <w:sz w:val="22"/>
                <w:szCs w:val="22"/>
                <w:u w:val="single"/>
              </w:rPr>
            </w:r>
          </w:p>
        </w:tc>
        <w:tc>
          <w:tcPr>
            <w:tcW w:w="1901" w:type="dxa"/>
            <w:tcBorders/>
          </w:tcPr>
          <w:p>
            <w:pPr>
              <w:pStyle w:val="Normal"/>
              <w:rPr>
                <w:b/>
                <w:bCs/>
                <w:sz w:val="22"/>
                <w:szCs w:val="22"/>
                <w:u w:val="single"/>
              </w:rPr>
            </w:pPr>
            <w:r>
              <w:rPr>
                <w:b/>
                <w:bCs/>
                <w:sz w:val="22"/>
                <w:szCs w:val="22"/>
                <w:u w:val="single"/>
              </w:rPr>
              <w:t>MOODY'S CREDIT RATING</w:t>
            </w:r>
          </w:p>
          <w:p>
            <w:pPr>
              <w:pStyle w:val="Normal"/>
              <w:rPr>
                <w:b/>
                <w:bCs/>
                <w:sz w:val="22"/>
                <w:szCs w:val="22"/>
                <w:u w:val="single"/>
              </w:rPr>
            </w:pPr>
            <w:r>
              <w:rPr>
                <w:b/>
                <w:bCs/>
                <w:sz w:val="22"/>
                <w:szCs w:val="22"/>
                <w:u w:val="single"/>
              </w:rPr>
            </w:r>
          </w:p>
        </w:tc>
      </w:tr>
      <w:tr>
        <w:trPr/>
        <w:tc>
          <w:tcPr>
            <w:tcW w:w="2070" w:type="dxa"/>
            <w:tcBorders/>
          </w:tcPr>
          <w:p>
            <w:pPr>
              <w:pStyle w:val="Normal"/>
              <w:rPr>
                <w:sz w:val="22"/>
                <w:szCs w:val="22"/>
              </w:rPr>
            </w:pPr>
            <w:r>
              <w:rPr>
                <w:sz w:val="22"/>
                <w:szCs w:val="22"/>
              </w:rPr>
              <w:t>U.S. $30,000,000</w:t>
            </w:r>
          </w:p>
        </w:tc>
        <w:tc>
          <w:tcPr>
            <w:tcW w:w="2409" w:type="dxa"/>
            <w:tcBorders/>
          </w:tcPr>
          <w:p>
            <w:pPr>
              <w:pStyle w:val="Normal"/>
              <w:rPr>
                <w:sz w:val="22"/>
                <w:szCs w:val="22"/>
              </w:rPr>
            </w:pPr>
            <w:r>
              <w:rPr>
                <w:sz w:val="22"/>
                <w:szCs w:val="22"/>
              </w:rPr>
              <w:t>U.S. $30,000,000</w:t>
            </w:r>
          </w:p>
        </w:tc>
        <w:tc>
          <w:tcPr>
            <w:tcW w:w="1828" w:type="dxa"/>
            <w:tcBorders/>
          </w:tcPr>
          <w:p>
            <w:pPr>
              <w:pStyle w:val="Normal"/>
              <w:ind w:start="-18" w:end="0"/>
              <w:rPr>
                <w:sz w:val="22"/>
                <w:szCs w:val="22"/>
              </w:rPr>
            </w:pPr>
            <w:r>
              <w:rPr>
                <w:sz w:val="22"/>
                <w:szCs w:val="22"/>
              </w:rPr>
              <w:t>A- (or above)</w:t>
            </w:r>
          </w:p>
        </w:tc>
        <w:tc>
          <w:tcPr>
            <w:tcW w:w="1901" w:type="dxa"/>
            <w:tcBorders/>
          </w:tcPr>
          <w:p>
            <w:pPr>
              <w:pStyle w:val="Normal"/>
              <w:rPr>
                <w:sz w:val="22"/>
                <w:szCs w:val="22"/>
              </w:rPr>
            </w:pPr>
            <w:r>
              <w:rPr>
                <w:sz w:val="22"/>
                <w:szCs w:val="22"/>
              </w:rPr>
              <w:t>A3 (or above)</w:t>
            </w:r>
          </w:p>
        </w:tc>
      </w:tr>
      <w:tr>
        <w:trPr/>
        <w:tc>
          <w:tcPr>
            <w:tcW w:w="2070" w:type="dxa"/>
            <w:tcBorders/>
          </w:tcPr>
          <w:p>
            <w:pPr>
              <w:pStyle w:val="Normal"/>
              <w:rPr>
                <w:sz w:val="22"/>
                <w:szCs w:val="22"/>
              </w:rPr>
            </w:pPr>
            <w:r>
              <w:rPr>
                <w:sz w:val="22"/>
                <w:szCs w:val="22"/>
              </w:rPr>
              <w:t>U.S. $25,000,000</w:t>
            </w:r>
          </w:p>
        </w:tc>
        <w:tc>
          <w:tcPr>
            <w:tcW w:w="2409" w:type="dxa"/>
            <w:tcBorders/>
          </w:tcPr>
          <w:p>
            <w:pPr>
              <w:pStyle w:val="Normal"/>
              <w:rPr>
                <w:sz w:val="22"/>
                <w:szCs w:val="22"/>
              </w:rPr>
            </w:pPr>
            <w:r>
              <w:rPr>
                <w:sz w:val="22"/>
                <w:szCs w:val="22"/>
              </w:rPr>
              <w:t>U.S. $25,000,000</w:t>
            </w:r>
          </w:p>
        </w:tc>
        <w:tc>
          <w:tcPr>
            <w:tcW w:w="1828" w:type="dxa"/>
            <w:tcBorders/>
          </w:tcPr>
          <w:p>
            <w:pPr>
              <w:pStyle w:val="Normal"/>
              <w:ind w:start="-18" w:end="0"/>
              <w:rPr>
                <w:sz w:val="22"/>
                <w:szCs w:val="22"/>
              </w:rPr>
            </w:pPr>
            <w:r>
              <w:rPr>
                <w:sz w:val="22"/>
                <w:szCs w:val="22"/>
              </w:rPr>
              <w:t>BBB+</w:t>
            </w:r>
          </w:p>
        </w:tc>
        <w:tc>
          <w:tcPr>
            <w:tcW w:w="1901" w:type="dxa"/>
            <w:tcBorders/>
          </w:tcPr>
          <w:p>
            <w:pPr>
              <w:pStyle w:val="Normal"/>
              <w:rPr>
                <w:sz w:val="22"/>
                <w:szCs w:val="22"/>
              </w:rPr>
            </w:pPr>
            <w:r>
              <w:rPr>
                <w:sz w:val="22"/>
                <w:szCs w:val="22"/>
              </w:rPr>
              <w:t>Baa1</w:t>
            </w:r>
          </w:p>
        </w:tc>
      </w:tr>
      <w:tr>
        <w:trPr/>
        <w:tc>
          <w:tcPr>
            <w:tcW w:w="2070" w:type="dxa"/>
            <w:tcBorders/>
          </w:tcPr>
          <w:p>
            <w:pPr>
              <w:pStyle w:val="Normal"/>
              <w:rPr>
                <w:sz w:val="22"/>
                <w:szCs w:val="22"/>
              </w:rPr>
            </w:pPr>
            <w:r>
              <w:rPr>
                <w:sz w:val="22"/>
                <w:szCs w:val="22"/>
              </w:rPr>
              <w:t>U.S. $20,000,000</w:t>
            </w:r>
          </w:p>
        </w:tc>
        <w:tc>
          <w:tcPr>
            <w:tcW w:w="2409" w:type="dxa"/>
            <w:tcBorders/>
          </w:tcPr>
          <w:p>
            <w:pPr>
              <w:pStyle w:val="Normal"/>
              <w:rPr>
                <w:sz w:val="22"/>
                <w:szCs w:val="22"/>
              </w:rPr>
            </w:pPr>
            <w:r>
              <w:rPr>
                <w:sz w:val="22"/>
                <w:szCs w:val="22"/>
              </w:rPr>
              <w:t>U.S. $20,000,000</w:t>
            </w:r>
          </w:p>
        </w:tc>
        <w:tc>
          <w:tcPr>
            <w:tcW w:w="1828" w:type="dxa"/>
            <w:tcBorders/>
          </w:tcPr>
          <w:p>
            <w:pPr>
              <w:pStyle w:val="Normal"/>
              <w:ind w:start="-18" w:end="0"/>
              <w:rPr>
                <w:sz w:val="22"/>
                <w:szCs w:val="22"/>
              </w:rPr>
            </w:pPr>
            <w:r>
              <w:rPr>
                <w:sz w:val="22"/>
                <w:szCs w:val="22"/>
              </w:rPr>
              <w:t>BBB</w:t>
            </w:r>
          </w:p>
        </w:tc>
        <w:tc>
          <w:tcPr>
            <w:tcW w:w="1901" w:type="dxa"/>
            <w:tcBorders/>
          </w:tcPr>
          <w:p>
            <w:pPr>
              <w:pStyle w:val="Normal"/>
              <w:rPr>
                <w:sz w:val="22"/>
                <w:szCs w:val="22"/>
              </w:rPr>
            </w:pPr>
            <w:r>
              <w:rPr>
                <w:sz w:val="22"/>
                <w:szCs w:val="22"/>
              </w:rPr>
              <w:t>Baa2</w:t>
            </w:r>
          </w:p>
        </w:tc>
      </w:tr>
      <w:tr>
        <w:trPr/>
        <w:tc>
          <w:tcPr>
            <w:tcW w:w="2070" w:type="dxa"/>
            <w:tcBorders/>
          </w:tcPr>
          <w:p>
            <w:pPr>
              <w:pStyle w:val="Normal"/>
              <w:rPr>
                <w:sz w:val="22"/>
                <w:szCs w:val="22"/>
              </w:rPr>
            </w:pPr>
            <w:r>
              <w:rPr>
                <w:sz w:val="22"/>
                <w:szCs w:val="22"/>
              </w:rPr>
              <w:t>U.S. $15,000,000</w:t>
            </w:r>
          </w:p>
        </w:tc>
        <w:tc>
          <w:tcPr>
            <w:tcW w:w="2409" w:type="dxa"/>
            <w:tcBorders/>
          </w:tcPr>
          <w:p>
            <w:pPr>
              <w:pStyle w:val="Normal"/>
              <w:rPr>
                <w:sz w:val="22"/>
                <w:szCs w:val="22"/>
              </w:rPr>
            </w:pPr>
            <w:r>
              <w:rPr>
                <w:sz w:val="22"/>
                <w:szCs w:val="22"/>
              </w:rPr>
              <w:t>U.S. $15,000,000</w:t>
            </w:r>
          </w:p>
        </w:tc>
        <w:tc>
          <w:tcPr>
            <w:tcW w:w="1828" w:type="dxa"/>
            <w:tcBorders/>
          </w:tcPr>
          <w:p>
            <w:pPr>
              <w:pStyle w:val="Normal"/>
              <w:ind w:start="-18" w:end="0"/>
              <w:rPr>
                <w:sz w:val="22"/>
                <w:szCs w:val="22"/>
              </w:rPr>
            </w:pPr>
            <w:r>
              <w:rPr>
                <w:sz w:val="22"/>
                <w:szCs w:val="22"/>
              </w:rPr>
              <w:t>BBB-</w:t>
            </w:r>
          </w:p>
        </w:tc>
        <w:tc>
          <w:tcPr>
            <w:tcW w:w="1901" w:type="dxa"/>
            <w:tcBorders/>
          </w:tcPr>
          <w:p>
            <w:pPr>
              <w:pStyle w:val="Normal"/>
              <w:rPr>
                <w:sz w:val="22"/>
                <w:szCs w:val="22"/>
              </w:rPr>
            </w:pPr>
            <w:r>
              <w:rPr>
                <w:sz w:val="22"/>
                <w:szCs w:val="22"/>
              </w:rPr>
              <w:t>Baa3</w:t>
            </w:r>
          </w:p>
        </w:tc>
      </w:tr>
      <w:tr>
        <w:trPr/>
        <w:tc>
          <w:tcPr>
            <w:tcW w:w="2070" w:type="dxa"/>
            <w:tcBorders/>
          </w:tcPr>
          <w:p>
            <w:pPr>
              <w:pStyle w:val="Normal"/>
              <w:rPr>
                <w:sz w:val="22"/>
                <w:szCs w:val="22"/>
              </w:rPr>
            </w:pPr>
            <w:r>
              <w:rPr>
                <w:sz w:val="22"/>
                <w:szCs w:val="22"/>
              </w:rPr>
              <w:t>U.S. $ 0</w:t>
            </w:r>
          </w:p>
        </w:tc>
        <w:tc>
          <w:tcPr>
            <w:tcW w:w="2409" w:type="dxa"/>
            <w:tcBorders/>
          </w:tcPr>
          <w:p>
            <w:pPr>
              <w:pStyle w:val="Normal"/>
              <w:rPr>
                <w:sz w:val="22"/>
                <w:szCs w:val="22"/>
              </w:rPr>
            </w:pPr>
            <w:r>
              <w:rPr>
                <w:sz w:val="22"/>
                <w:szCs w:val="22"/>
              </w:rPr>
              <w:t>U.S. $ 0</w:t>
            </w:r>
          </w:p>
        </w:tc>
        <w:tc>
          <w:tcPr>
            <w:tcW w:w="1828" w:type="dxa"/>
            <w:tcBorders/>
          </w:tcPr>
          <w:p>
            <w:pPr>
              <w:pStyle w:val="Normal"/>
              <w:ind w:start="-18" w:end="0"/>
              <w:rPr>
                <w:sz w:val="22"/>
                <w:szCs w:val="22"/>
              </w:rPr>
            </w:pPr>
            <w:r>
              <w:rPr>
                <w:sz w:val="22"/>
                <w:szCs w:val="22"/>
              </w:rPr>
              <w:t>Below BBB-</w:t>
            </w:r>
          </w:p>
        </w:tc>
        <w:tc>
          <w:tcPr>
            <w:tcW w:w="1901" w:type="dxa"/>
            <w:tcBorders/>
          </w:tcPr>
          <w:p>
            <w:pPr>
              <w:pStyle w:val="Normal"/>
              <w:rPr>
                <w:sz w:val="22"/>
                <w:szCs w:val="22"/>
              </w:rPr>
            </w:pPr>
            <w:r>
              <w:rPr>
                <w:sz w:val="22"/>
                <w:szCs w:val="22"/>
              </w:rPr>
              <w:t>Below Baa3</w:t>
            </w:r>
          </w:p>
        </w:tc>
      </w:tr>
    </w:tbl>
    <w:p>
      <w:pPr>
        <w:pStyle w:val="Normal"/>
        <w:ind w:hanging="720" w:start="2160" w:end="0"/>
        <w:jc w:val="both"/>
        <w:rPr>
          <w:sz w:val="22"/>
          <w:szCs w:val="22"/>
        </w:rPr>
      </w:pPr>
      <w:r>
        <w:rPr>
          <w:sz w:val="22"/>
          <w:szCs w:val="22"/>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$250,000 </w:t>
      </w:r>
      <w:r>
        <w:rPr>
          <w:sz w:val="22"/>
          <w:szCs w:val="22"/>
        </w:rPr>
        <w:t xml:space="preserve">and the Return Amount will be rounded down to the nearest integral multiple of U.S. </w:t>
      </w:r>
      <w:r>
        <w:rPr>
          <w:color w:val="000000"/>
          <w:sz w:val="22"/>
          <w:szCs w:val="22"/>
        </w:rPr>
        <w:t>$250,000.</w:t>
      </w:r>
    </w:p>
    <w:p>
      <w:pPr>
        <w:pStyle w:val="Normal"/>
        <w:ind w:hanging="720" w:start="720" w:end="0"/>
        <w:jc w:val="both"/>
        <w:rPr>
          <w:color w:val="000000"/>
          <w:sz w:val="22"/>
          <w:szCs w:val="22"/>
        </w:rPr>
      </w:pPr>
      <w:r>
        <w:rPr>
          <w:color w:val="000000"/>
          <w:sz w:val="22"/>
          <w:szCs w:val="22"/>
        </w:rPr>
      </w:r>
      <w:r>
        <w:br w:type="page"/>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 xml:space="preserve">Party B and its Custodian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pPr>
      <w:r>
        <w:rPr>
          <w:sz w:val="22"/>
          <w:szCs w:val="22"/>
        </w:rPr>
        <w:t>(1) Party B is not a Defaulting Party and it has a Credit Rating</w:t>
      </w:r>
      <w:r>
        <w:rPr>
          <w:color w:val="000000"/>
          <w:sz w:val="22"/>
          <w:szCs w:val="22"/>
        </w:rPr>
        <w:t xml:space="preserve"> from S&amp;P</w:t>
      </w:r>
      <w:r>
        <w:rPr>
          <w:sz w:val="22"/>
          <w:szCs w:val="22"/>
        </w:rPr>
        <w:t xml:space="preserve"> and the lowest Credit Rating for it is “</w:t>
      </w:r>
      <w:r>
        <w:rPr>
          <w:color w:val="000000"/>
          <w:sz w:val="22"/>
          <w:szCs w:val="22"/>
        </w:rPr>
        <w:t>BBB-</w:t>
      </w:r>
      <w:r>
        <w:rPr>
          <w:sz w:val="22"/>
          <w:szCs w:val="22"/>
        </w:rPr>
        <w:t>” or higher by S&amp;P  or “Baa3” or higher by Moody’s.</w:t>
      </w:r>
    </w:p>
    <w:p>
      <w:pPr>
        <w:pStyle w:val="Normal"/>
        <w:ind w:start="1080" w:end="0"/>
        <w:jc w:val="both"/>
        <w:rPr>
          <w:sz w:val="22"/>
          <w:szCs w:val="22"/>
        </w:rPr>
      </w:pPr>
      <w:r>
        <w:rPr>
          <w:sz w:val="22"/>
          <w:szCs w:val="22"/>
        </w:rPr>
      </w:r>
    </w:p>
    <w:p>
      <w:pPr>
        <w:pStyle w:val="Normal"/>
        <w:ind w:start="1080" w:end="0"/>
        <w:jc w:val="both"/>
        <w:rPr>
          <w:color w:val="FF0000"/>
          <w:sz w:val="22"/>
          <w:szCs w:val="22"/>
        </w:rPr>
      </w:pPr>
      <w:r>
        <w:rPr>
          <w:sz w:val="22"/>
          <w:szCs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Justified"/>
        <w:spacing w:before="0" w:after="0"/>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w:t>
      </w:r>
    </w:p>
    <w:p>
      <w:pPr>
        <w:pStyle w:val="Normal"/>
        <w:ind w:start="180" w:end="0"/>
        <w:jc w:val="both"/>
        <w:rPr>
          <w:sz w:val="22"/>
          <w:szCs w:val="22"/>
        </w:rPr>
      </w:pPr>
      <w:r>
        <w:rPr>
          <w:sz w:val="22"/>
          <w:szCs w:val="22"/>
        </w:rPr>
      </w:r>
    </w:p>
    <w:p>
      <w:pPr>
        <w:pStyle w:val="Normal"/>
        <w:ind w:start="720" w:end="0"/>
        <w:jc w:val="both"/>
        <w:rPr>
          <w:sz w:val="22"/>
          <w:szCs w:val="22"/>
        </w:rPr>
      </w:pPr>
      <w:r>
        <w:rPr>
          <w:sz w:val="22"/>
          <w:szCs w:val="22"/>
        </w:rPr>
        <w:t>(i)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color w:val="993300"/>
          <w:sz w:val="22"/>
          <w:szCs w:val="22"/>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color w:val="993300"/>
          <w:sz w:val="22"/>
          <w:szCs w:val="22"/>
        </w:rPr>
      </w:pPr>
      <w:r>
        <w:rPr>
          <w:color w:val="993300"/>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w:t>
      </w:r>
      <w:r>
        <w:rPr>
          <w:color w:val="FF0000"/>
          <w:sz w:val="22"/>
          <w:szCs w:val="22"/>
        </w:rPr>
        <w:t xml:space="preserve"> </w:t>
      </w:r>
      <w:r>
        <w:rPr>
          <w:sz w:val="22"/>
          <w:szCs w:val="22"/>
        </w:rPr>
        <w:t>or below “Baa3” by Moody’s or its Credit Support Provider fails to have a Credit Rating from S&amp;P or Moody’s; or (b) with respect to Party B, its</w:t>
      </w:r>
      <w:r>
        <w:rPr>
          <w:color w:val="FF0000"/>
          <w:sz w:val="22"/>
          <w:szCs w:val="22"/>
        </w:rPr>
        <w:t xml:space="preserve"> </w:t>
      </w:r>
      <w:r>
        <w:rPr>
          <w:sz w:val="22"/>
          <w:szCs w:val="22"/>
        </w:rPr>
        <w:t>Credit Rating is below “BBB-” by S&amp;P or below “Baa3” by Moody’s or it fails to have a Credit Rating from S&amp;P or Moody’s.</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ind w:hanging="720" w:start="720" w:end="0"/>
        <w:jc w:val="both"/>
        <w:rPr>
          <w:sz w:val="22"/>
          <w:szCs w:val="22"/>
        </w:rPr>
      </w:pPr>
      <w:r>
        <w:rPr>
          <w:sz w:val="22"/>
          <w:szCs w:val="22"/>
        </w:rPr>
      </w:r>
    </w:p>
    <w:p>
      <w:pPr>
        <w:sectPr>
          <w:footerReference w:type="default" r:id="rId3"/>
          <w:footerReference w:type="first" r:id="rId4"/>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jc w:val="center"/>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200__,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aps/>
          <w:sz w:val="22"/>
          <w:szCs w:val="22"/>
        </w:rPr>
        <w:t>consolidated Edison company of new york, inc.,</w:t>
      </w:r>
      <w:r>
        <w:rPr>
          <w:sz w:val="22"/>
          <w:szCs w:val="22"/>
        </w:rPr>
        <w:t xml:space="preserve"> a </w:t>
      </w:r>
      <w:r>
        <w:rPr>
          <w:sz w:val="22"/>
          <w:szCs w:val="22"/>
          <w:u w:val="single"/>
        </w:rPr>
        <w:tab/>
        <w:tab/>
        <w:t xml:space="preserve"> </w:t>
      </w:r>
      <w:r>
        <w:rPr>
          <w:sz w:val="22"/>
          <w:szCs w:val="22"/>
        </w:rPr>
        <w:t>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w:t>
      </w:r>
      <w:r>
        <w:rPr>
          <w:color w:val="FF0000"/>
          <w:sz w:val="22"/>
          <w:szCs w:val="22"/>
        </w:rPr>
        <w:t xml:space="preserve"> </w:t>
      </w:r>
      <w:r>
        <w:rPr>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$30,000,000.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Consolidated Edison Company of New York, Inc.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/mnt/main-storage/datasets/enron-docs/doc/071_ctr__Consolidated_Edison_.doc</w:t>
    </w:r>
    <w:r>
      <w:rPr>
        <w:rStyle w:val="PageNumber"/>
        <w:sz w:val="16"/>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/mnt/main-storage/datasets/enron-docs/doc/071_ctr__Consolidated_Edison_.doc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/mnt/main-storage/datasets/enron-docs/doc/071_ctr__Consolidated_Edison_.doc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/mnt/main-storage/datasets/enron-docs/doc/071_ctr__Consolidated_Edison_.doc</w:t>
    </w:r>
    <w:r>
      <w:rPr>
        <w:sz w:val="16"/>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t>Exhibit A</w:t>
    </w:r>
  </w:p>
  <w:p>
    <w:pPr>
      <w:pStyle w:val="Footer"/>
      <w:widowControl/>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2001-01-24T19:11:00Z</dcterms:created>
  <dc:creator>mheard</dc:creator>
  <dc:description/>
  <dc:language>en-CA</dc:language>
  <cp:lastModifiedBy>sboyd2</cp:lastModifiedBy>
  <cp:lastPrinted>2001-01-24T18:24:00Z</cp:lastPrinted>
  <dcterms:modified xsi:type="dcterms:W3CDTF">2001-01-24T22:02:00Z</dcterms:modified>
  <cp:revision>4</cp:revision>
  <dc:subject/>
  <dc:title>ISDA Multicurrency Agreement</dc:title>
</cp:coreProperties>
</file>