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pPr>
      <w:r>
        <w:drawing>
          <wp:anchor behindDoc="0" distT="0" distB="0" distL="114935" distR="114935" simplePos="0" locked="0" layoutInCell="1" allowOverlap="1" relativeHeight="3">
            <wp:simplePos x="0" y="0"/>
            <wp:positionH relativeFrom="column">
              <wp:posOffset>1308735</wp:posOffset>
            </wp:positionH>
            <wp:positionV relativeFrom="paragraph">
              <wp:posOffset>2540</wp:posOffset>
            </wp:positionV>
            <wp:extent cx="2971800" cy="142430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21" r="-10" b="-21"/>
                    <a:stretch>
                      <a:fillRect/>
                    </a:stretch>
                  </pic:blipFill>
                  <pic:spPr bwMode="auto">
                    <a:xfrm>
                      <a:off x="0" y="0"/>
                      <a:ext cx="2971800" cy="1424305"/>
                    </a:xfrm>
                    <a:prstGeom prst="rect">
                      <a:avLst/>
                    </a:prstGeom>
                    <a:noFill/>
                  </pic:spPr>
                </pic:pic>
              </a:graphicData>
            </a:graphic>
          </wp:anchor>
        </w:drawing>
      </w:r>
      <w:r>
        <w:rPr/>
        <w:tab/>
        <w:tab/>
        <w:tab/>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tbl>
      <w:tblPr>
        <w:tblW w:w="9360" w:type="dxa"/>
        <w:jc w:val="start"/>
        <w:tblInd w:w="108" w:type="dxa"/>
        <w:tblLayout w:type="fixed"/>
        <w:tblCellMar>
          <w:top w:w="0" w:type="dxa"/>
          <w:start w:w="108" w:type="dxa"/>
          <w:bottom w:w="0" w:type="dxa"/>
          <w:end w:w="108" w:type="dxa"/>
        </w:tblCellMar>
      </w:tblPr>
      <w:tblGrid>
        <w:gridCol w:w="9360"/>
      </w:tblGrid>
      <w:tr>
        <w:trPr>
          <w:trHeight w:val="1160" w:hRule="atLeast"/>
        </w:trPr>
        <w:tc>
          <w:tcPr>
            <w:tcW w:w="936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Times New Roman" w:hAnsi="Times New Roman" w:cs="Times New Roman"/>
                <w:b/>
                <w:sz w:val="96"/>
              </w:rPr>
            </w:pPr>
            <w:r>
              <w:rPr>
                <w:rFonts w:cs="Times New Roman" w:ascii="Times New Roman" w:hAnsi="Times New Roman"/>
                <w:b/>
                <w:sz w:val="96"/>
              </w:rPr>
              <w:t>MEMO</w:t>
            </w:r>
          </w:p>
        </w:tc>
      </w:tr>
    </w:tbl>
    <w:p>
      <w:pPr>
        <w:pStyle w:val="Header"/>
        <w:tabs>
          <w:tab w:val="clear" w:pos="4320"/>
          <w:tab w:val="clear" w:pos="8640"/>
        </w:tabs>
        <w:spacing w:lineRule="auto" w:line="360"/>
        <w:rPr/>
      </w:pPr>
      <w:r>
        <w:rPr/>
      </w:r>
    </w:p>
    <w:tbl>
      <w:tblPr>
        <w:tblpPr w:vertAnchor="text" w:horzAnchor="text" w:tblpXSpec="center" w:leftFromText="187" w:rightFromText="187" w:tblpY="1"/>
        <w:tblOverlap w:val="never"/>
        <w:tblW w:w="9360" w:type="dxa"/>
        <w:jc w:val="start"/>
        <w:tblInd w:w="115" w:type="dxa"/>
        <w:tblLayout w:type="fixed"/>
        <w:tblCellMar>
          <w:top w:w="0" w:type="dxa"/>
          <w:start w:w="115" w:type="dxa"/>
          <w:bottom w:w="0" w:type="dxa"/>
          <w:end w:w="115" w:type="dxa"/>
        </w:tblCellMar>
      </w:tblPr>
      <w:tblGrid>
        <w:gridCol w:w="4680"/>
        <w:gridCol w:w="4680"/>
      </w:tblGrid>
      <w:tr>
        <w:trPr>
          <w:trHeight w:val="504" w:hRule="exact"/>
        </w:trPr>
        <w:tc>
          <w:tcPr>
            <w:tcW w:w="4680" w:type="dxa"/>
            <w:tcBorders/>
            <w:vAlign w:val="center"/>
          </w:tcPr>
          <w:p>
            <w:pPr>
              <w:pStyle w:val="MessageHeaderFirst"/>
              <w:spacing w:lineRule="auto" w:line="240" w:before="220" w:after="120"/>
              <w:ind w:hanging="0" w:start="0" w:end="0"/>
              <w:rPr>
                <w:rStyle w:val="MessageHeaderLabel"/>
                <w:rFonts w:ascii="Times New Roman" w:hAnsi="Times New Roman" w:cs="Times New Roman"/>
                <w:b/>
                <w:spacing w:val="-25"/>
                <w:sz w:val="24"/>
              </w:rPr>
            </w:pPr>
            <w:r>
              <w:rPr>
                <w:rStyle w:val="MessageHeaderLabel"/>
                <w:rFonts w:cs="Times New Roman" w:ascii="Times New Roman" w:hAnsi="Times New Roman"/>
                <w:b/>
                <w:spacing w:val="-25"/>
                <w:sz w:val="24"/>
              </w:rPr>
              <w:t>T</w:t>
            </w:r>
            <w:r>
              <w:rPr>
                <w:rStyle w:val="MessageHeaderLabel"/>
                <w:rFonts w:cs="Times New Roman" w:ascii="Times New Roman" w:hAnsi="Times New Roman"/>
                <w:b/>
                <w:sz w:val="24"/>
              </w:rPr>
              <w:t>o:</w:t>
            </w:r>
            <w:r>
              <w:rPr>
                <w:rFonts w:cs="Times New Roman" w:ascii="Times New Roman" w:hAnsi="Times New Roman"/>
                <w:b/>
                <w:sz w:val="24"/>
              </w:rPr>
              <w:tab/>
              <w:t>All Market Participants</w:t>
            </w:r>
          </w:p>
        </w:tc>
        <w:tc>
          <w:tcPr>
            <w:tcW w:w="4680" w:type="dxa"/>
            <w:tcBorders/>
            <w:vAlign w:val="center"/>
          </w:tcPr>
          <w:p>
            <w:pPr>
              <w:pStyle w:val="MessageHeaderFirst"/>
              <w:spacing w:lineRule="auto" w:line="240" w:before="220" w:after="120"/>
              <w:ind w:hanging="0" w:start="0" w:end="0"/>
              <w:rPr>
                <w:rStyle w:val="MessageHeaderLabel"/>
                <w:rFonts w:ascii="Times New Roman" w:hAnsi="Times New Roman" w:cs="Times New Roman"/>
                <w:b/>
                <w:spacing w:val="-25"/>
                <w:sz w:val="24"/>
              </w:rPr>
            </w:pPr>
            <w:r>
              <w:rPr>
                <w:rStyle w:val="MessageHeaderLabel"/>
                <w:rFonts w:cs="Times New Roman" w:ascii="Times New Roman" w:hAnsi="Times New Roman"/>
                <w:b/>
                <w:sz w:val="24"/>
              </w:rPr>
              <w:t>From:</w:t>
            </w:r>
            <w:r>
              <w:rPr>
                <w:rFonts w:cs="Times New Roman" w:ascii="Times New Roman" w:hAnsi="Times New Roman"/>
                <w:b/>
                <w:sz w:val="24"/>
              </w:rPr>
              <w:tab/>
            </w:r>
            <w:r>
              <w:rPr>
                <w:rFonts w:cs="Times New Roman" w:ascii="Times New Roman" w:hAnsi="Times New Roman"/>
                <w:b/>
                <w:bCs/>
                <w:sz w:val="24"/>
              </w:rPr>
              <w:t>Theodros Hailu</w:t>
            </w:r>
          </w:p>
        </w:tc>
      </w:tr>
      <w:tr>
        <w:trPr>
          <w:trHeight w:val="504" w:hRule="exact"/>
        </w:trPr>
        <w:tc>
          <w:tcPr>
            <w:tcW w:w="4680" w:type="dxa"/>
            <w:tcBorders/>
            <w:vAlign w:val="center"/>
          </w:tcPr>
          <w:p>
            <w:pPr>
              <w:pStyle w:val="MessageHeaderFirst"/>
              <w:spacing w:lineRule="auto" w:line="240" w:before="220" w:after="120"/>
              <w:ind w:hanging="0" w:start="0" w:end="0"/>
              <w:rPr>
                <w:rStyle w:val="MessageHeaderLabel"/>
                <w:rFonts w:ascii="Times New Roman" w:hAnsi="Times New Roman" w:cs="Times New Roman"/>
                <w:b/>
                <w:spacing w:val="-25"/>
                <w:sz w:val="24"/>
              </w:rPr>
            </w:pPr>
            <w:r>
              <w:rPr>
                <w:rStyle w:val="MessageHeaderLabel"/>
                <w:rFonts w:cs="Times New Roman" w:ascii="Times New Roman" w:hAnsi="Times New Roman"/>
                <w:b/>
                <w:sz w:val="24"/>
              </w:rPr>
              <w:t>Date:</w:t>
            </w:r>
            <w:r>
              <w:rPr>
                <w:rFonts w:cs="Times New Roman" w:ascii="Times New Roman" w:hAnsi="Times New Roman"/>
                <w:b/>
                <w:sz w:val="24"/>
              </w:rPr>
              <w:tab/>
              <w:t>07/17/2001</w:t>
            </w:r>
          </w:p>
        </w:tc>
        <w:tc>
          <w:tcPr>
            <w:tcW w:w="4680" w:type="dxa"/>
            <w:tcBorders/>
            <w:vAlign w:val="center"/>
          </w:tcPr>
          <w:p>
            <w:pPr>
              <w:pStyle w:val="MessageHeaderFirst"/>
              <w:spacing w:lineRule="auto" w:line="240" w:before="220" w:after="120"/>
              <w:ind w:hanging="0" w:start="0" w:end="0"/>
              <w:rPr>
                <w:rStyle w:val="MessageHeaderLabel"/>
                <w:rFonts w:ascii="Times New Roman" w:hAnsi="Times New Roman" w:cs="Times New Roman"/>
                <w:b/>
                <w:spacing w:val="-25"/>
                <w:sz w:val="24"/>
              </w:rPr>
            </w:pPr>
            <w:r>
              <w:rPr>
                <w:rStyle w:val="MessageHeaderLabel"/>
                <w:rFonts w:cs="Times New Roman" w:ascii="Times New Roman" w:hAnsi="Times New Roman"/>
                <w:b/>
                <w:sz w:val="24"/>
              </w:rPr>
              <w:t>Title:</w:t>
            </w:r>
            <w:r>
              <w:rPr>
                <w:rFonts w:cs="Times New Roman" w:ascii="Times New Roman" w:hAnsi="Times New Roman"/>
                <w:b/>
                <w:sz w:val="24"/>
              </w:rPr>
              <w:tab/>
            </w:r>
            <w:r>
              <w:rPr>
                <w:rFonts w:cs="Times New Roman" w:ascii="Times New Roman" w:hAnsi="Times New Roman"/>
                <w:b/>
                <w:bCs/>
                <w:sz w:val="24"/>
              </w:rPr>
              <w:t>Client Relations Manager</w:t>
            </w:r>
          </w:p>
        </w:tc>
      </w:tr>
      <w:tr>
        <w:trPr>
          <w:trHeight w:val="504" w:hRule="exact"/>
        </w:trPr>
        <w:tc>
          <w:tcPr>
            <w:tcW w:w="4680" w:type="dxa"/>
            <w:tcBorders>
              <w:bottom w:val="single" w:sz="4" w:space="0" w:color="000000"/>
            </w:tcBorders>
            <w:vAlign w:val="center"/>
          </w:tcPr>
          <w:p>
            <w:pPr>
              <w:pStyle w:val="MessageHeaderFirst"/>
              <w:spacing w:lineRule="auto" w:line="240" w:before="220" w:after="120"/>
              <w:ind w:hanging="0" w:start="0" w:end="0"/>
              <w:rPr>
                <w:rStyle w:val="MessageHeaderLabel"/>
                <w:rFonts w:ascii="Times New Roman" w:hAnsi="Times New Roman" w:cs="Times New Roman"/>
                <w:b/>
                <w:sz w:val="24"/>
              </w:rPr>
            </w:pPr>
            <w:r>
              <w:rPr>
                <w:rStyle w:val="MessageHeaderLabel"/>
                <w:rFonts w:cs="Times New Roman" w:ascii="Times New Roman" w:hAnsi="Times New Roman"/>
                <w:b/>
                <w:sz w:val="24"/>
              </w:rPr>
              <w:t>Importance:</w:t>
            </w:r>
            <w:r>
              <w:rPr>
                <w:rFonts w:cs="Times New Roman" w:ascii="Times New Roman" w:hAnsi="Times New Roman"/>
                <w:b/>
                <w:sz w:val="24"/>
              </w:rPr>
              <w:tab/>
              <w:t xml:space="preserve">High </w:t>
            </w:r>
            <w:r>
              <w:fldChar w:fldCharType="begin">
                <w:ffData>
                  <w:name w:val="Check1"/>
                  <w:enabled/>
                  <w:calcOnExit w:val="0"/>
                  <w:checkBox>
                    <w:sizeAuto/>
                    <w:checked/>
                  </w:checkBox>
                </w:ffData>
              </w:fldChar>
            </w:r>
            <w:r>
              <w:rPr>
                <w:sz w:val="24"/>
                <w:b/>
                <w:rFonts w:cs="Times New Roman" w:ascii="Times New Roman" w:hAnsi="Times New Roman"/>
              </w:rPr>
              <w:instrText xml:space="preserve"> FORMCHECKBOX </w:instrText>
            </w:r>
            <w:r>
              <w:rPr>
                <w:sz w:val="24"/>
                <w:b/>
                <w:rFonts w:cs="Times New Roman" w:ascii="Times New Roman" w:hAnsi="Times New Roman"/>
              </w:rPr>
              <w:fldChar w:fldCharType="separate"/>
            </w:r>
            <w:bookmarkStart w:id="0" w:name="Check1"/>
            <w:bookmarkStart w:id="1" w:name="Check1"/>
            <w:bookmarkEnd w:id="1"/>
            <w:r>
              <w:rPr>
                <w:rFonts w:cs="Times New Roman" w:ascii="Times New Roman" w:hAnsi="Times New Roman"/>
                <w:b/>
                <w:sz w:val="24"/>
              </w:rPr>
            </w:r>
            <w:r>
              <w:rPr>
                <w:sz w:val="24"/>
                <w:b/>
                <w:rFonts w:cs="Times New Roman" w:ascii="Times New Roman" w:hAnsi="Times New Roman"/>
              </w:rPr>
              <w:fldChar w:fldCharType="end"/>
            </w:r>
            <w:r>
              <w:rPr>
                <w:rFonts w:cs="Times New Roman" w:ascii="Times New Roman" w:hAnsi="Times New Roman"/>
                <w:b/>
                <w:sz w:val="24"/>
              </w:rPr>
              <w:t xml:space="preserve">  Medium </w:t>
            </w:r>
            <w:r>
              <w:fldChar w:fldCharType="begin">
                <w:ffData>
                  <w:name w:val="Check2"/>
                  <w:enabled/>
                  <w:calcOnExit w:val="0"/>
                  <w:checkBox>
                    <w:sizeAuto/>
                  </w:checkBox>
                </w:ffData>
              </w:fldChar>
            </w:r>
            <w:r>
              <w:rPr>
                <w:sz w:val="24"/>
                <w:b/>
                <w:rFonts w:cs="Times New Roman" w:ascii="Times New Roman" w:hAnsi="Times New Roman"/>
              </w:rPr>
              <w:instrText xml:space="preserve"> FORMCHECKBOX </w:instrText>
            </w:r>
            <w:r>
              <w:rPr>
                <w:sz w:val="24"/>
                <w:b/>
                <w:rFonts w:cs="Times New Roman" w:ascii="Times New Roman" w:hAnsi="Times New Roman"/>
              </w:rPr>
              <w:fldChar w:fldCharType="separate"/>
            </w:r>
            <w:bookmarkStart w:id="2" w:name="Check2"/>
            <w:bookmarkStart w:id="3" w:name="Check2"/>
            <w:bookmarkEnd w:id="3"/>
            <w:r>
              <w:rPr>
                <w:rFonts w:cs="Times New Roman" w:ascii="Times New Roman" w:hAnsi="Times New Roman"/>
                <w:b/>
                <w:sz w:val="24"/>
              </w:rPr>
            </w:r>
            <w:r>
              <w:rPr>
                <w:sz w:val="24"/>
                <w:b/>
                <w:rFonts w:cs="Times New Roman" w:ascii="Times New Roman" w:hAnsi="Times New Roman"/>
              </w:rPr>
              <w:fldChar w:fldCharType="end"/>
            </w:r>
            <w:r>
              <w:rPr>
                <w:rFonts w:cs="Times New Roman" w:ascii="Times New Roman" w:hAnsi="Times New Roman"/>
                <w:b/>
                <w:sz w:val="24"/>
              </w:rPr>
              <w:t xml:space="preserve">  Low </w:t>
            </w:r>
            <w:r>
              <w:fldChar w:fldCharType="begin">
                <w:ffData>
                  <w:name w:val="Check4"/>
                  <w:enabled/>
                  <w:calcOnExit w:val="0"/>
                  <w:checkBox>
                    <w:sizeAuto/>
                  </w:checkBox>
                </w:ffData>
              </w:fldChar>
            </w:r>
            <w:r>
              <w:rPr>
                <w:sz w:val="24"/>
                <w:b/>
                <w:rFonts w:cs="Times New Roman" w:ascii="Times New Roman" w:hAnsi="Times New Roman"/>
              </w:rPr>
              <w:instrText xml:space="preserve"> FORMCHECKBOX </w:instrText>
            </w:r>
            <w:r>
              <w:rPr>
                <w:sz w:val="24"/>
                <w:b/>
                <w:rFonts w:cs="Times New Roman" w:ascii="Times New Roman" w:hAnsi="Times New Roman"/>
              </w:rPr>
              <w:fldChar w:fldCharType="separate"/>
            </w:r>
            <w:bookmarkStart w:id="4" w:name="Check4"/>
            <w:bookmarkStart w:id="5" w:name="Check4"/>
            <w:bookmarkEnd w:id="5"/>
            <w:r>
              <w:rPr>
                <w:rFonts w:cs="Times New Roman" w:ascii="Times New Roman" w:hAnsi="Times New Roman"/>
                <w:b/>
                <w:sz w:val="24"/>
              </w:rPr>
            </w:r>
            <w:r>
              <w:rPr>
                <w:sz w:val="24"/>
                <w:b/>
                <w:rFonts w:cs="Times New Roman" w:ascii="Times New Roman" w:hAnsi="Times New Roman"/>
              </w:rPr>
              <w:fldChar w:fldCharType="end"/>
            </w:r>
            <w:r>
              <w:rPr>
                <w:rFonts w:cs="Times New Roman" w:ascii="Times New Roman" w:hAnsi="Times New Roman"/>
                <w:b/>
                <w:sz w:val="24"/>
              </w:rPr>
              <w:t xml:space="preserve"> </w:t>
            </w:r>
            <w:r>
              <w:fldChar w:fldCharType="begin">
                <w:ffData>
                  <w:name w:val="Check3"/>
                  <w:enabled/>
                  <w:calcOnExit w:val="0"/>
                  <w:checkBox>
                    <w:sizeAuto/>
                  </w:checkBox>
                </w:ffData>
              </w:fldChar>
            </w:r>
            <w:r>
              <w:rPr>
                <w:sz w:val="24"/>
                <w:b/>
                <w:rFonts w:cs="Times New Roman" w:ascii="Times New Roman" w:hAnsi="Times New Roman"/>
              </w:rPr>
              <w:instrText xml:space="preserve"> FORMCHECKBOX </w:instrText>
            </w:r>
            <w:r>
              <w:rPr>
                <w:sz w:val="24"/>
                <w:b/>
                <w:rFonts w:cs="Times New Roman" w:ascii="Times New Roman" w:hAnsi="Times New Roman"/>
              </w:rPr>
              <w:fldChar w:fldCharType="separate"/>
            </w:r>
            <w:bookmarkStart w:id="6" w:name="Check3"/>
            <w:bookmarkStart w:id="7" w:name="Check3"/>
            <w:bookmarkEnd w:id="7"/>
            <w:r/>
            <w:r>
              <w:rPr>
                <w:sz w:val="24"/>
                <w:b/>
                <w:rFonts w:cs="Times New Roman" w:ascii="Times New Roman" w:hAnsi="Times New Roman"/>
              </w:rPr>
              <w:fldChar w:fldCharType="end"/>
            </w:r>
            <w:r>
              <w:rPr>
                <w:rFonts w:cs="Times New Roman" w:ascii="Times New Roman" w:hAnsi="Times New Roman"/>
                <w:b/>
                <w:sz w:val="24"/>
              </w:rPr>
            </w:r>
          </w:p>
        </w:tc>
        <w:tc>
          <w:tcPr>
            <w:tcW w:w="4680" w:type="dxa"/>
            <w:tcBorders>
              <w:bottom w:val="single" w:sz="4" w:space="0" w:color="000000"/>
            </w:tcBorders>
            <w:vAlign w:val="center"/>
          </w:tcPr>
          <w:p>
            <w:pPr>
              <w:pStyle w:val="MessageHeaderFirst"/>
              <w:snapToGrid w:val="false"/>
              <w:spacing w:lineRule="auto" w:line="240" w:before="220" w:after="120"/>
              <w:ind w:hanging="0" w:start="0" w:end="0"/>
              <w:rPr>
                <w:rStyle w:val="MessageHeaderLabel"/>
                <w:rFonts w:ascii="Times New Roman" w:hAnsi="Times New Roman" w:cs="Times New Roman"/>
                <w:b/>
                <w:sz w:val="24"/>
              </w:rPr>
            </w:pPr>
            <w:r>
              <w:rPr/>
            </w:r>
          </w:p>
        </w:tc>
      </w:tr>
    </w:tbl>
    <w:p>
      <w:pPr>
        <w:pStyle w:val="Header"/>
        <w:tabs>
          <w:tab w:val="clear" w:pos="4320"/>
          <w:tab w:val="clear" w:pos="8640"/>
        </w:tabs>
        <w:spacing w:lineRule="auto" w:line="360"/>
        <w:rPr/>
      </w:pPr>
      <w:r>
        <w:rPr/>
      </w:r>
    </w:p>
    <w:p>
      <w:pPr>
        <w:pStyle w:val="BodyText"/>
        <w:rPr>
          <w:rFonts w:ascii="Times New Roman" w:hAnsi="Times New Roman" w:cs="Times New Roman"/>
          <w:sz w:val="24"/>
        </w:rPr>
      </w:pPr>
      <w:r>
        <w:rPr>
          <w:rFonts w:cs="Times New Roman" w:ascii="Times New Roman" w:hAnsi="Times New Roman"/>
          <w:sz w:val="24"/>
        </w:rPr>
        <w:t>Re:   Phased Implementation of Single Control Area Operations and Customer Switching</w:t>
      </w:r>
    </w:p>
    <w:p>
      <w:pPr>
        <w:pStyle w:val="BodyText"/>
        <w:rPr>
          <w:rFonts w:ascii="Times New Roman" w:hAnsi="Times New Roman" w:cs="Times New Roman"/>
          <w:sz w:val="24"/>
        </w:rPr>
      </w:pPr>
      <w:r>
        <w:rPr>
          <w:rFonts w:cs="Times New Roman" w:ascii="Times New Roman" w:hAnsi="Times New Roman"/>
          <w:sz w:val="24"/>
        </w:rPr>
        <w:t xml:space="preserve">This notice is provided to all parties to ERCOT Agreements executed under the ERCOT Protocols.  </w:t>
      </w:r>
    </w:p>
    <w:p>
      <w:pPr>
        <w:pStyle w:val="BodyText"/>
        <w:rPr>
          <w:rFonts w:ascii="Times New Roman" w:hAnsi="Times New Roman" w:cs="Times New Roman"/>
          <w:sz w:val="24"/>
        </w:rPr>
      </w:pPr>
      <w:r>
        <w:rPr>
          <w:rFonts w:cs="Times New Roman" w:ascii="Times New Roman" w:hAnsi="Times New Roman"/>
          <w:sz w:val="24"/>
        </w:rPr>
        <w:t>On June 1, ERCOT began a phased approach for the Pilot Program in order to assure that ERCOT’s single control area operations would be operating reliably, as well as to provide all Market Participants additional opportunities to test their market processes and operating systems.  Today, ERCOT revised its implementation schedule for final phase-in of the Pilot Program, and the ERCOT Board of Directors approved an amendment to the ERCOT Protocols, to provide for operation as a single control area beginning July 31, 2001, unless ERCOT determines that system and/or market process performance is not satisfactory.</w:t>
      </w:r>
    </w:p>
    <w:p>
      <w:pPr>
        <w:pStyle w:val="BodyText"/>
        <w:rPr>
          <w:rFonts w:ascii="Times New Roman" w:hAnsi="Times New Roman" w:cs="Times New Roman"/>
          <w:sz w:val="24"/>
        </w:rPr>
      </w:pPr>
      <w:r>
        <w:rPr>
          <w:rFonts w:cs="Times New Roman" w:ascii="Times New Roman" w:hAnsi="Times New Roman"/>
          <w:sz w:val="24"/>
        </w:rPr>
        <w:t>Revised Schedule:</w:t>
      </w:r>
    </w:p>
    <w:p>
      <w:pPr>
        <w:pStyle w:val="BodyText"/>
        <w:rPr/>
      </w:pPr>
      <w:r>
        <w:rPr>
          <w:rFonts w:cs="Times New Roman" w:ascii="Times New Roman" w:hAnsi="Times New Roman"/>
          <w:b/>
          <w:bCs/>
          <w:sz w:val="24"/>
          <w:u w:val="single"/>
        </w:rPr>
        <w:t>Wholesale</w:t>
      </w:r>
      <w:r>
        <w:rPr>
          <w:rFonts w:cs="Times New Roman" w:ascii="Times New Roman" w:hAnsi="Times New Roman"/>
          <w:sz w:val="24"/>
        </w:rPr>
        <w:tab/>
      </w:r>
    </w:p>
    <w:p>
      <w:pPr>
        <w:pStyle w:val="BodyText"/>
        <w:ind w:hanging="1260" w:start="1260" w:end="0"/>
        <w:rPr>
          <w:rFonts w:ascii="Times New Roman" w:hAnsi="Times New Roman" w:cs="Times New Roman"/>
          <w:sz w:val="24"/>
        </w:rPr>
      </w:pPr>
      <w:r>
        <w:rPr>
          <w:rFonts w:cs="Times New Roman" w:ascii="Times New Roman" w:hAnsi="Times New Roman"/>
          <w:sz w:val="24"/>
        </w:rPr>
        <w:t>July 17–31</w:t>
        <w:tab/>
        <w:t>ERCOT will continue to process end-to-end settlement statements, verify accuracy improvements as the customer data backlog is cleared, and continue to operate in single control area mode during this period as needed to adequately test the API, Portal, and other systems as needed.  Market Participants should continue to test their systems and train their personnel to be ready for full market conversion.</w:t>
      </w:r>
    </w:p>
    <w:p>
      <w:pPr>
        <w:pStyle w:val="BodyText"/>
        <w:ind w:hanging="1260" w:start="1260" w:end="0"/>
        <w:rPr>
          <w:rFonts w:ascii="Times New Roman" w:hAnsi="Times New Roman" w:cs="Times New Roman"/>
          <w:sz w:val="24"/>
        </w:rPr>
      </w:pPr>
      <w:r>
        <w:rPr>
          <w:rFonts w:cs="Times New Roman" w:ascii="Times New Roman" w:hAnsi="Times New Roman"/>
          <w:sz w:val="24"/>
        </w:rPr>
        <w:t>July 30</w:t>
        <w:tab/>
        <w:t>QSEs must submit day-ahead schedules and bids for trade day July 31, 2001.</w:t>
      </w:r>
    </w:p>
    <w:p>
      <w:pPr>
        <w:pStyle w:val="BodyText"/>
        <w:ind w:hanging="1260" w:start="1260" w:end="0"/>
        <w:rPr>
          <w:rFonts w:ascii="Times New Roman" w:hAnsi="Times New Roman" w:cs="Times New Roman"/>
          <w:sz w:val="24"/>
        </w:rPr>
      </w:pPr>
      <w:r>
        <w:rPr>
          <w:rFonts w:cs="Times New Roman" w:ascii="Times New Roman" w:hAnsi="Times New Roman"/>
          <w:sz w:val="24"/>
        </w:rPr>
        <w:t>July 31</w:t>
        <w:tab/>
        <w:t>ERCOT assumes full responsibility for maintaining single control area operations; QSEs become fully operational on July 31</w:t>
      </w:r>
    </w:p>
    <w:p>
      <w:pPr>
        <w:pStyle w:val="BodyText"/>
        <w:ind w:hanging="1260" w:start="1260" w:end="0"/>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b/>
          <w:bCs/>
          <w:sz w:val="24"/>
          <w:u w:val="single"/>
        </w:rPr>
      </w:pPr>
      <w:r>
        <w:rPr>
          <w:rFonts w:cs="Times New Roman" w:ascii="Times New Roman" w:hAnsi="Times New Roman"/>
          <w:b/>
          <w:bCs/>
          <w:sz w:val="24"/>
          <w:u w:val="single"/>
        </w:rPr>
        <w:t>Retail</w:t>
      </w:r>
    </w:p>
    <w:p>
      <w:pPr>
        <w:pStyle w:val="BodyText"/>
        <w:ind w:hanging="1260" w:start="1260" w:end="0"/>
        <w:rPr>
          <w:rFonts w:ascii="Times New Roman" w:hAnsi="Times New Roman" w:cs="Times New Roman"/>
          <w:sz w:val="24"/>
        </w:rPr>
      </w:pPr>
      <w:r>
        <w:rPr>
          <w:rFonts w:cs="Times New Roman" w:ascii="Times New Roman" w:hAnsi="Times New Roman"/>
          <w:sz w:val="24"/>
        </w:rPr>
        <w:t>July 17– 31</w:t>
        <w:tab/>
        <w:t>ERCOT and Market Participants will continue processing low volume switches for each CR/TSP combination to verify end-to-end capability and conduct additional training, as needed.</w:t>
      </w:r>
    </w:p>
    <w:p>
      <w:pPr>
        <w:pStyle w:val="BodyText"/>
        <w:ind w:hanging="1260" w:start="1260" w:end="0"/>
        <w:rPr>
          <w:rFonts w:ascii="Times New Roman" w:hAnsi="Times New Roman" w:cs="Times New Roman"/>
          <w:sz w:val="24"/>
        </w:rPr>
      </w:pPr>
      <w:r>
        <w:rPr>
          <w:rFonts w:cs="Times New Roman" w:ascii="Times New Roman" w:hAnsi="Times New Roman"/>
          <w:sz w:val="24"/>
        </w:rPr>
        <w:t>July 31</w:t>
        <w:tab/>
        <w:t>Begin switching to new electric provider for all switches that have been processed to date and continue ramp up program for subsequent switches.</w:t>
      </w:r>
    </w:p>
    <w:p>
      <w:pPr>
        <w:pStyle w:val="BodyText"/>
        <w:ind w:hanging="1260" w:start="1260" w:end="0"/>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Yours truly,</w:t>
      </w:r>
    </w:p>
    <w:p>
      <w:pPr>
        <w:pStyle w:val="Heading2"/>
        <w:ind w:hanging="0" w:start="0"/>
        <w:rPr/>
      </w:pPr>
      <w:r>
        <w:rPr/>
        <w:t>Theodros Hailu</w:t>
      </w:r>
    </w:p>
    <w:p>
      <w:pPr>
        <w:pStyle w:val="Normal"/>
        <w:jc w:val="both"/>
        <w:rPr/>
      </w:pPr>
      <w:r>
        <w:rPr/>
      </w:r>
    </w:p>
    <w:p>
      <w:pPr>
        <w:pStyle w:val="BodyText"/>
        <w:rPr>
          <w:rFonts w:ascii="Times New Roman" w:hAnsi="Times New Roman" w:cs="Times New Roman"/>
          <w:sz w:val="24"/>
        </w:rPr>
      </w:pPr>
      <w:r>
        <w:rPr>
          <w:rFonts w:cs="Times New Roman" w:ascii="Times New Roman" w:hAnsi="Times New Roman"/>
          <w:sz w:val="24"/>
        </w:rPr>
        <w:t>Theodros Hailu</w:t>
      </w:r>
    </w:p>
    <w:p>
      <w:pPr>
        <w:pStyle w:val="BodyText"/>
        <w:spacing w:before="0" w:after="220"/>
        <w:rPr>
          <w:rFonts w:ascii="Times New Roman" w:hAnsi="Times New Roman" w:cs="Times New Roman"/>
          <w:sz w:val="24"/>
        </w:rPr>
      </w:pPr>
      <w:r>
        <w:rPr>
          <w:rFonts w:cs="Times New Roman" w:ascii="Times New Roman" w:hAnsi="Times New Roman"/>
          <w:sz w:val="24"/>
        </w:rPr>
        <w:t>Client Relations Manager</w:t>
      </w:r>
    </w:p>
    <w:sectPr>
      <w:footerReference w:type="default" r:id="rId3"/>
      <w:type w:val="nextPage"/>
      <w:pgSz w:w="12240" w:h="15840"/>
      <w:pgMar w:left="1440" w:right="1440" w:gutter="0" w:header="0" w:top="720" w:footer="432"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licker">
    <w:charset w:val="00" w:characterSet="windows-1252"/>
    <w:family w:val="auto"/>
    <w:pitch w:val="variable"/>
  </w:font>
  <w:font w:name="Vivaldi">
    <w:charset w:val="00" w:characterSet="windows-1252"/>
    <w:family w:val="script"/>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50" w:type="dxa"/>
      <w:jc w:val="start"/>
      <w:tblInd w:w="108" w:type="dxa"/>
      <w:tblLayout w:type="fixed"/>
      <w:tblCellMar>
        <w:top w:w="0" w:type="dxa"/>
        <w:start w:w="108" w:type="dxa"/>
        <w:bottom w:w="0" w:type="dxa"/>
        <w:end w:w="108" w:type="dxa"/>
      </w:tblCellMar>
    </w:tblPr>
    <w:tblGrid>
      <w:gridCol w:w="3150"/>
      <w:gridCol w:w="3150"/>
      <w:gridCol w:w="3150"/>
    </w:tblGrid>
    <w:tr>
      <w:trPr>
        <w:trHeight w:val="1160" w:hRule="atLeast"/>
      </w:trPr>
      <w:tc>
        <w:tcPr>
          <w:tcW w:w="3150" w:type="dxa"/>
          <w:tcBorders/>
          <w:vAlign w:val="bottom"/>
        </w:tcPr>
        <w:p>
          <w:pPr>
            <w:pStyle w:val="Footer"/>
            <w:rPr>
              <w:b/>
              <w:sz w:val="16"/>
            </w:rPr>
          </w:pPr>
          <w:r>
            <w:rPr>
              <w:b/>
              <w:sz w:val="16"/>
            </w:rPr>
            <w:t>AUSTIN</w:t>
          </w:r>
        </w:p>
        <w:p>
          <w:pPr>
            <w:pStyle w:val="Footer"/>
            <w:rPr>
              <w:sz w:val="16"/>
            </w:rPr>
          </w:pPr>
          <w:r>
            <w:rPr>
              <w:sz w:val="16"/>
            </w:rPr>
            <w:t>7620 Metro Center Drive</w:t>
            <w:tab/>
          </w:r>
        </w:p>
        <w:p>
          <w:pPr>
            <w:pStyle w:val="Footer"/>
            <w:rPr>
              <w:sz w:val="16"/>
            </w:rPr>
          </w:pPr>
          <w:r>
            <w:rPr>
              <w:sz w:val="16"/>
            </w:rPr>
            <w:t>Austin, Texas 78744</w:t>
          </w:r>
        </w:p>
        <w:p>
          <w:pPr>
            <w:pStyle w:val="Footer"/>
            <w:rPr>
              <w:sz w:val="16"/>
            </w:rPr>
          </w:pPr>
          <w:r>
            <w:rPr>
              <w:sz w:val="16"/>
            </w:rPr>
            <w:t>Tel. 512.225.7000</w:t>
          </w:r>
        </w:p>
        <w:p>
          <w:pPr>
            <w:pStyle w:val="Footer"/>
            <w:rPr>
              <w:b/>
              <w:sz w:val="16"/>
            </w:rPr>
          </w:pPr>
          <w:r>
            <w:rPr>
              <w:sz w:val="16"/>
            </w:rPr>
            <w:t>Fax 512.225.7020</w:t>
          </w:r>
        </w:p>
      </w:tc>
      <w:tc>
        <w:tcPr>
          <w:tcW w:w="3150" w:type="dxa"/>
          <w:tcBorders/>
          <w:vAlign w:val="bottom"/>
        </w:tcPr>
        <w:p>
          <w:pPr>
            <w:pStyle w:val="Footer"/>
            <w:jc w:val="center"/>
            <w:rPr>
              <w:sz w:val="16"/>
            </w:rPr>
          </w:pPr>
          <w:r>
            <w:rPr>
              <w:sz w:val="16"/>
            </w:rPr>
            <w:t>www.ercot.com</w:t>
          </w:r>
        </w:p>
      </w:tc>
      <w:tc>
        <w:tcPr>
          <w:tcW w:w="3150" w:type="dxa"/>
          <w:tcBorders/>
          <w:vAlign w:val="bottom"/>
        </w:tcPr>
        <w:p>
          <w:pPr>
            <w:pStyle w:val="Footer"/>
            <w:jc w:val="end"/>
            <w:rPr>
              <w:b/>
              <w:sz w:val="16"/>
            </w:rPr>
          </w:pPr>
          <w:r>
            <w:rPr>
              <w:b/>
              <w:sz w:val="16"/>
            </w:rPr>
            <w:t>TAYLOR</w:t>
          </w:r>
        </w:p>
        <w:p>
          <w:pPr>
            <w:pStyle w:val="Footer"/>
            <w:jc w:val="end"/>
            <w:rPr>
              <w:sz w:val="16"/>
            </w:rPr>
          </w:pPr>
          <w:r>
            <w:rPr>
              <w:sz w:val="16"/>
            </w:rPr>
            <w:t>2705 West Lake Drive</w:t>
          </w:r>
        </w:p>
        <w:p>
          <w:pPr>
            <w:pStyle w:val="Footer"/>
            <w:jc w:val="end"/>
            <w:rPr>
              <w:sz w:val="16"/>
            </w:rPr>
          </w:pPr>
          <w:r>
            <w:rPr>
              <w:sz w:val="16"/>
            </w:rPr>
            <w:t>Taylor, Texas 76574</w:t>
          </w:r>
        </w:p>
        <w:p>
          <w:pPr>
            <w:pStyle w:val="Footer"/>
            <w:jc w:val="end"/>
            <w:rPr>
              <w:sz w:val="16"/>
            </w:rPr>
          </w:pPr>
          <w:r>
            <w:rPr>
              <w:sz w:val="16"/>
            </w:rPr>
            <w:t>Tel. 512.248.3000</w:t>
          </w:r>
        </w:p>
        <w:p>
          <w:pPr>
            <w:pStyle w:val="Footer"/>
            <w:jc w:val="end"/>
            <w:rPr>
              <w:sz w:val="16"/>
            </w:rPr>
          </w:pPr>
          <w:r>
            <w:rPr>
              <w:sz w:val="16"/>
            </w:rPr>
            <w:t>Fax 512.248.3095</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Slicker" w:hAnsi="Slicker" w:cs="Slicker"/>
      <w:sz w:val="28"/>
    </w:rPr>
  </w:style>
  <w:style w:type="paragraph" w:styleId="Heading2">
    <w:name w:val="heading 2"/>
    <w:basedOn w:val="Normal"/>
    <w:next w:val="Normal"/>
    <w:qFormat/>
    <w:pPr>
      <w:keepNext w:val="true"/>
      <w:numPr>
        <w:ilvl w:val="1"/>
        <w:numId w:val="1"/>
      </w:numPr>
      <w:jc w:val="both"/>
      <w:outlineLvl w:val="1"/>
    </w:pPr>
    <w:rPr>
      <w:rFonts w:ascii="Vivaldi" w:hAnsi="Vivaldi" w:cs="Vivaldi"/>
      <w:i/>
      <w:sz w:val="40"/>
      <w:szCs w:val="24"/>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Subtitle">
    <w:name w:val="Subtitle"/>
    <w:basedOn w:val="Normal"/>
    <w:next w:val="BodyText"/>
    <w:qFormat/>
    <w:pPr>
      <w:ind w:hanging="0" w:start="-180" w:end="0"/>
    </w:pPr>
    <w:rPr>
      <w:b/>
      <w:bCs/>
      <w:sz w:val="24"/>
      <w:szCs w:val="24"/>
      <w:u w:val="single"/>
    </w:rPr>
  </w:style>
  <w:style w:type="paragraph" w:styleId="BodyTextIndent">
    <w:name w:val="Body Text Indent"/>
    <w:basedOn w:val="Normal"/>
    <w:pPr>
      <w:ind w:hanging="180" w:start="0" w:end="0"/>
    </w:pPr>
    <w:rPr>
      <w:sz w:val="24"/>
      <w:szCs w:val="24"/>
    </w:rPr>
  </w:style>
  <w:style w:type="paragraph" w:styleId="BodyTextIndent2">
    <w:name w:val="Body Text Indent 2"/>
    <w:basedOn w:val="Normal"/>
    <w:qFormat/>
    <w:pPr>
      <w:ind w:hanging="1260" w:start="1260" w:end="0"/>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ERCOT Memo Template</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2001-07-17T18:54:00Z</dcterms:created>
  <dc:creator>Ralph Weston</dc:creator>
  <dc:description/>
  <dc:language>en-CA</dc:language>
  <cp:lastModifiedBy>mwalker</cp:lastModifiedBy>
  <cp:lastPrinted>2001-07-17T17:52:00Z</cp:lastPrinted>
  <dcterms:modified xsi:type="dcterms:W3CDTF">2001-07-17T20:29:00Z</dcterms:modified>
  <cp:revision>6</cp:revision>
  <dc:subject>ERCOT Memo Page</dc:subject>
  <dc:title>ERCOT Digital Memo Template</dc:title>
</cp:coreProperties>
</file>