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leaseHead"/>
        <w:rPr/>
      </w:pPr>
      <w:r>
        <w:rPr/>
        <w:t>CPUC CANCELS july 3 continuation meeting</w:t>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ge">
                  <wp:posOffset>1603375</wp:posOffset>
                </wp:positionV>
                <wp:extent cx="6012180" cy="506095"/>
                <wp:effectExtent l="0" t="0" r="0" b="0"/>
                <wp:wrapSquare wrapText="bothSides"/>
                <wp:docPr id="1" name="Frame1"/>
                <a:graphic xmlns:a="http://schemas.openxmlformats.org/drawingml/2006/main">
                  <a:graphicData uri="http://schemas.microsoft.com/office/word/2010/wordprocessingShape">
                    <wps:wsp>
                      <wps:cNvSpPr txBox="1"/>
                      <wps:spPr>
                        <a:xfrm>
                          <a:off x="0" y="0"/>
                          <a:ext cx="6012180" cy="506095"/>
                        </a:xfrm>
                        <a:prstGeom prst="rect"/>
                        <a:solidFill>
                          <a:srgbClr val="FFFFFF">
                            <a:alpha val="0"/>
                          </a:srgbClr>
                        </a:solidFill>
                      </wps:spPr>
                      <wps:txbx>
                        <w:txbxContent>
                          <w:tbl>
                            <w:tblPr>
                              <w:tblW w:w="9468" w:type="dxa"/>
                              <w:jc w:val="start"/>
                              <w:tblInd w:w="108" w:type="dxa"/>
                              <w:tblLayout w:type="fixed"/>
                              <w:tblCellMar>
                                <w:top w:w="0" w:type="dxa"/>
                                <w:start w:w="108" w:type="dxa"/>
                                <w:bottom w:w="0" w:type="dxa"/>
                                <w:end w:w="108" w:type="dxa"/>
                              </w:tblCellMar>
                            </w:tblPr>
                            <w:tblGrid>
                              <w:gridCol w:w="2088"/>
                              <w:gridCol w:w="2070"/>
                              <w:gridCol w:w="414"/>
                              <w:gridCol w:w="2250"/>
                              <w:gridCol w:w="2646"/>
                            </w:tblGrid>
                            <w:tr>
                              <w:trPr>
                                <w:trHeight w:val="90" w:hRule="atLeast"/>
                              </w:trPr>
                              <w:tc>
                                <w:tcPr>
                                  <w:tcW w:w="4572" w:type="dxa"/>
                                  <w:gridSpan w:val="3"/>
                                  <w:tcBorders/>
                                  <w:vAlign w:val="center"/>
                                </w:tcPr>
                                <w:p>
                                  <w:pPr>
                                    <w:pStyle w:val="contactname"/>
                                    <w:spacing w:lineRule="atLeast" w:line="90"/>
                                    <w:jc w:val="start"/>
                                    <w:rPr/>
                                  </w:pPr>
                                  <w:r>
                                    <w:rPr>
                                      <w:sz w:val="22"/>
                                    </w:rPr>
                                    <w:t xml:space="preserve">MEDIA CONTACT: </w:t>
                                  </w:r>
                                  <w:r>
                                    <w:rPr>
                                      <w:sz w:val="22"/>
                                    </w:rPr>
                                    <w:fldChar w:fldCharType="begin"/>
                                  </w:r>
                                  <w:r>
                                    <w:rPr>
                                      <w:sz w:val="22"/>
                                    </w:rPr>
                                    <w:instrText xml:space="preserve"> FILLIN "MERGEFORMAT"</w:instrText>
                                  </w:r>
                                  <w:r>
                                    <w:rPr>
                                      <w:sz w:val="22"/>
                                    </w:rPr>
                                    <w:fldChar w:fldCharType="separate"/>
                                  </w:r>
                                  <w:r>
                                    <w:rPr>
                                      <w:sz w:val="22"/>
                                    </w:rPr>
                                  </w:r>
                                  <w:r>
                                    <w:rPr>
                                      <w:sz w:val="22"/>
                                    </w:rPr>
                                    <w:fldChar w:fldCharType="end"/>
                                  </w:r>
                                  <w:r>
                                    <w:rPr>
                                      <w:sz w:val="22"/>
                                    </w:rPr>
                                    <w:t>Sheri Inouye</w:t>
                                  </w:r>
                                </w:p>
                              </w:tc>
                              <w:tc>
                                <w:tcPr>
                                  <w:tcW w:w="2250" w:type="dxa"/>
                                  <w:tcBorders/>
                                </w:tcPr>
                                <w:p>
                                  <w:pPr>
                                    <w:pStyle w:val="contactname"/>
                                    <w:spacing w:lineRule="atLeast" w:line="90"/>
                                    <w:rPr>
                                      <w:sz w:val="22"/>
                                    </w:rPr>
                                  </w:pPr>
                                  <w:r>
                                    <w:rPr>
                                      <w:sz w:val="22"/>
                                    </w:rPr>
                                    <w:t>July 3, 2001</w:t>
                                  </w:r>
                                </w:p>
                              </w:tc>
                              <w:tc>
                                <w:tcPr>
                                  <w:tcW w:w="2646" w:type="dxa"/>
                                  <w:tcBorders/>
                                </w:tcPr>
                                <w:p>
                                  <w:pPr>
                                    <w:pStyle w:val="ReleaseDate"/>
                                    <w:spacing w:lineRule="atLeast" w:line="90"/>
                                    <w:rPr/>
                                  </w:pPr>
                                  <w:r>
                                    <w:rPr/>
                                    <w:t>CPUC: 075</w:t>
                                  </w:r>
                                </w:p>
                              </w:tc>
                            </w:tr>
                            <w:tr>
                              <w:trPr>
                                <w:trHeight w:val="263" w:hRule="atLeast"/>
                              </w:trPr>
                              <w:tc>
                                <w:tcPr>
                                  <w:tcW w:w="2088" w:type="dxa"/>
                                  <w:tcBorders/>
                                </w:tcPr>
                                <w:p>
                                  <w:pPr>
                                    <w:pStyle w:val="ReleaseDate"/>
                                    <w:rPr/>
                                  </w:pPr>
                                  <w:r>
                                    <w:rPr/>
                                    <w:t> </w:t>
                                  </w:r>
                                </w:p>
                              </w:tc>
                              <w:tc>
                                <w:tcPr>
                                  <w:tcW w:w="2070" w:type="dxa"/>
                                  <w:tcBorders/>
                                </w:tcPr>
                                <w:p>
                                  <w:pPr>
                                    <w:pStyle w:val="contactphone"/>
                                    <w:jc w:val="start"/>
                                    <w:rPr/>
                                  </w:pPr>
                                  <w:r>
                                    <w:rPr/>
                                    <w:t>415-703-3250</w:t>
                                  </w:r>
                                </w:p>
                              </w:tc>
                              <w:tc>
                                <w:tcPr>
                                  <w:tcW w:w="2664" w:type="dxa"/>
                                  <w:gridSpan w:val="2"/>
                                  <w:tcBorders/>
                                </w:tcPr>
                                <w:p>
                                  <w:pPr>
                                    <w:pStyle w:val="contactphone"/>
                                    <w:rPr/>
                                  </w:pPr>
                                  <w:r>
                                    <w:rPr/>
                                    <w:t>sni@cpuc.ca.gov</w:t>
                                  </w:r>
                                </w:p>
                              </w:tc>
                              <w:tc>
                                <w:tcPr>
                                  <w:tcW w:w="2646" w:type="dxa"/>
                                  <w:tcBorders/>
                                </w:tcPr>
                                <w:p>
                                  <w:pPr>
                                    <w:pStyle w:val="contactphone"/>
                                    <w:snapToGrid w:val="false"/>
                                    <w:ind w:hanging="0" w:end="0"/>
                                    <w:rPr/>
                                  </w:pPr>
                                  <w:r>
                                    <w:rPr/>
                                  </w:r>
                                </w:p>
                              </w:tc>
                            </w:tr>
                            <w:tr>
                              <w:trPr/>
                              <w:tc>
                                <w:tcPr>
                                  <w:tcW w:w="2088" w:type="dxa"/>
                                  <w:tcBorders/>
                                  <w:vAlign w:val="center"/>
                                </w:tcPr>
                                <w:p>
                                  <w:pPr>
                                    <w:pStyle w:val="Normal"/>
                                    <w:snapToGrid w:val="false"/>
                                    <w:rPr>
                                      <w:sz w:val="0"/>
                                    </w:rPr>
                                  </w:pPr>
                                  <w:r>
                                    <w:rPr>
                                      <w:sz w:val="0"/>
                                    </w:rPr>
                                  </w:r>
                                </w:p>
                              </w:tc>
                              <w:tc>
                                <w:tcPr>
                                  <w:tcW w:w="2070" w:type="dxa"/>
                                  <w:tcBorders/>
                                  <w:vAlign w:val="center"/>
                                </w:tcPr>
                                <w:p>
                                  <w:pPr>
                                    <w:pStyle w:val="Normal"/>
                                    <w:snapToGrid w:val="false"/>
                                    <w:rPr>
                                      <w:sz w:val="0"/>
                                    </w:rPr>
                                  </w:pPr>
                                  <w:r>
                                    <w:rPr>
                                      <w:sz w:val="0"/>
                                    </w:rPr>
                                  </w:r>
                                </w:p>
                              </w:tc>
                              <w:tc>
                                <w:tcPr>
                                  <w:tcW w:w="414" w:type="dxa"/>
                                  <w:tcBorders/>
                                  <w:vAlign w:val="center"/>
                                </w:tcPr>
                                <w:p>
                                  <w:pPr>
                                    <w:pStyle w:val="Normal"/>
                                    <w:snapToGrid w:val="false"/>
                                    <w:rPr>
                                      <w:sz w:val="0"/>
                                    </w:rPr>
                                  </w:pPr>
                                  <w:r>
                                    <w:rPr>
                                      <w:sz w:val="0"/>
                                    </w:rPr>
                                  </w:r>
                                </w:p>
                              </w:tc>
                              <w:tc>
                                <w:tcPr>
                                  <w:tcW w:w="2250" w:type="dxa"/>
                                  <w:tcBorders/>
                                  <w:vAlign w:val="center"/>
                                </w:tcPr>
                                <w:p>
                                  <w:pPr>
                                    <w:pStyle w:val="Normal"/>
                                    <w:snapToGrid w:val="false"/>
                                    <w:rPr>
                                      <w:sz w:val="0"/>
                                    </w:rPr>
                                  </w:pPr>
                                  <w:r>
                                    <w:rPr>
                                      <w:sz w:val="0"/>
                                    </w:rPr>
                                  </w:r>
                                </w:p>
                              </w:tc>
                              <w:tc>
                                <w:tcPr>
                                  <w:tcW w:w="2646" w:type="dxa"/>
                                  <w:tcBorders/>
                                  <w:vAlign w:val="center"/>
                                </w:tcPr>
                                <w:p>
                                  <w:pPr>
                                    <w:pStyle w:val="Normal"/>
                                    <w:snapToGrid w:val="false"/>
                                    <w:rPr>
                                      <w:sz w:val="0"/>
                                    </w:rPr>
                                  </w:pPr>
                                  <w:r>
                                    <w:rPr>
                                      <w:sz w:val="0"/>
                                    </w:rPr>
                                  </w:r>
                                </w:p>
                              </w:tc>
                            </w:tr>
                          </w:tbl>
                        </w:txbxContent>
                      </wps:txbx>
                      <wps:bodyPr anchor="t" lIns="0" tIns="0" rIns="0" bIns="0">
                        <a:noAutofit/>
                      </wps:bodyPr>
                    </wps:wsp>
                  </a:graphicData>
                </a:graphic>
              </wp:anchor>
            </w:drawing>
          </mc:Choice>
          <mc:Fallback>
            <w:pict>
              <v:rect fillcolor="#FFFFFF" style="position:absolute;rotation:-0;width:473.4pt;height:39.85pt;mso-wrap-distance-left:9pt;mso-wrap-distance-right:9pt;mso-wrap-distance-top:0pt;mso-wrap-distance-bottom:0pt;margin-top:126.25pt;mso-position-vertical-relative:page;margin-left:-2.7pt;mso-position-horizontal:center;mso-position-horizontal-relative:margin">
                <v:fill opacity="0f"/>
                <v:textbox inset="0in,0in,0in,0in">
                  <w:txbxContent>
                    <w:tbl>
                      <w:tblPr>
                        <w:tblW w:w="9468" w:type="dxa"/>
                        <w:jc w:val="start"/>
                        <w:tblInd w:w="108" w:type="dxa"/>
                        <w:tblLayout w:type="fixed"/>
                        <w:tblCellMar>
                          <w:top w:w="0" w:type="dxa"/>
                          <w:start w:w="108" w:type="dxa"/>
                          <w:bottom w:w="0" w:type="dxa"/>
                          <w:end w:w="108" w:type="dxa"/>
                        </w:tblCellMar>
                      </w:tblPr>
                      <w:tblGrid>
                        <w:gridCol w:w="2088"/>
                        <w:gridCol w:w="2070"/>
                        <w:gridCol w:w="414"/>
                        <w:gridCol w:w="2250"/>
                        <w:gridCol w:w="2646"/>
                      </w:tblGrid>
                      <w:tr>
                        <w:trPr>
                          <w:trHeight w:val="90" w:hRule="atLeast"/>
                        </w:trPr>
                        <w:tc>
                          <w:tcPr>
                            <w:tcW w:w="4572" w:type="dxa"/>
                            <w:gridSpan w:val="3"/>
                            <w:tcBorders/>
                            <w:vAlign w:val="center"/>
                          </w:tcPr>
                          <w:p>
                            <w:pPr>
                              <w:pStyle w:val="contactname"/>
                              <w:spacing w:lineRule="atLeast" w:line="90"/>
                              <w:jc w:val="start"/>
                              <w:rPr/>
                            </w:pPr>
                            <w:r>
                              <w:rPr>
                                <w:sz w:val="22"/>
                              </w:rPr>
                              <w:t xml:space="preserve">MEDIA CONTACT: </w:t>
                            </w:r>
                            <w:r>
                              <w:rPr>
                                <w:sz w:val="22"/>
                              </w:rPr>
                              <w:fldChar w:fldCharType="begin"/>
                            </w:r>
                            <w:r>
                              <w:rPr>
                                <w:sz w:val="22"/>
                              </w:rPr>
                              <w:instrText xml:space="preserve"> FILLIN "MERGEFORMAT"</w:instrText>
                            </w:r>
                            <w:r>
                              <w:rPr>
                                <w:sz w:val="22"/>
                              </w:rPr>
                              <w:fldChar w:fldCharType="separate"/>
                            </w:r>
                            <w:r>
                              <w:rPr>
                                <w:sz w:val="22"/>
                              </w:rPr>
                            </w:r>
                            <w:r>
                              <w:rPr>
                                <w:sz w:val="22"/>
                              </w:rPr>
                              <w:fldChar w:fldCharType="end"/>
                            </w:r>
                            <w:r>
                              <w:rPr>
                                <w:sz w:val="22"/>
                              </w:rPr>
                              <w:t>Sheri Inouye</w:t>
                            </w:r>
                          </w:p>
                        </w:tc>
                        <w:tc>
                          <w:tcPr>
                            <w:tcW w:w="2250" w:type="dxa"/>
                            <w:tcBorders/>
                          </w:tcPr>
                          <w:p>
                            <w:pPr>
                              <w:pStyle w:val="contactname"/>
                              <w:spacing w:lineRule="atLeast" w:line="90"/>
                              <w:rPr>
                                <w:sz w:val="22"/>
                              </w:rPr>
                            </w:pPr>
                            <w:r>
                              <w:rPr>
                                <w:sz w:val="22"/>
                              </w:rPr>
                              <w:t>July 3, 2001</w:t>
                            </w:r>
                          </w:p>
                        </w:tc>
                        <w:tc>
                          <w:tcPr>
                            <w:tcW w:w="2646" w:type="dxa"/>
                            <w:tcBorders/>
                          </w:tcPr>
                          <w:p>
                            <w:pPr>
                              <w:pStyle w:val="ReleaseDate"/>
                              <w:spacing w:lineRule="atLeast" w:line="90"/>
                              <w:rPr/>
                            </w:pPr>
                            <w:r>
                              <w:rPr/>
                              <w:t>CPUC: 075</w:t>
                            </w:r>
                          </w:p>
                        </w:tc>
                      </w:tr>
                      <w:tr>
                        <w:trPr>
                          <w:trHeight w:val="263" w:hRule="atLeast"/>
                        </w:trPr>
                        <w:tc>
                          <w:tcPr>
                            <w:tcW w:w="2088" w:type="dxa"/>
                            <w:tcBorders/>
                          </w:tcPr>
                          <w:p>
                            <w:pPr>
                              <w:pStyle w:val="ReleaseDate"/>
                              <w:rPr/>
                            </w:pPr>
                            <w:r>
                              <w:rPr/>
                              <w:t> </w:t>
                            </w:r>
                          </w:p>
                        </w:tc>
                        <w:tc>
                          <w:tcPr>
                            <w:tcW w:w="2070" w:type="dxa"/>
                            <w:tcBorders/>
                          </w:tcPr>
                          <w:p>
                            <w:pPr>
                              <w:pStyle w:val="contactphone"/>
                              <w:jc w:val="start"/>
                              <w:rPr/>
                            </w:pPr>
                            <w:r>
                              <w:rPr/>
                              <w:t>415-703-3250</w:t>
                            </w:r>
                          </w:p>
                        </w:tc>
                        <w:tc>
                          <w:tcPr>
                            <w:tcW w:w="2664" w:type="dxa"/>
                            <w:gridSpan w:val="2"/>
                            <w:tcBorders/>
                          </w:tcPr>
                          <w:p>
                            <w:pPr>
                              <w:pStyle w:val="contactphone"/>
                              <w:rPr/>
                            </w:pPr>
                            <w:r>
                              <w:rPr/>
                              <w:t>sni@cpuc.ca.gov</w:t>
                            </w:r>
                          </w:p>
                        </w:tc>
                        <w:tc>
                          <w:tcPr>
                            <w:tcW w:w="2646" w:type="dxa"/>
                            <w:tcBorders/>
                          </w:tcPr>
                          <w:p>
                            <w:pPr>
                              <w:pStyle w:val="contactphone"/>
                              <w:snapToGrid w:val="false"/>
                              <w:ind w:hanging="0" w:end="0"/>
                              <w:rPr/>
                            </w:pPr>
                            <w:r>
                              <w:rPr/>
                            </w:r>
                          </w:p>
                        </w:tc>
                      </w:tr>
                      <w:tr>
                        <w:trPr/>
                        <w:tc>
                          <w:tcPr>
                            <w:tcW w:w="2088" w:type="dxa"/>
                            <w:tcBorders/>
                            <w:vAlign w:val="center"/>
                          </w:tcPr>
                          <w:p>
                            <w:pPr>
                              <w:pStyle w:val="Normal"/>
                              <w:snapToGrid w:val="false"/>
                              <w:rPr>
                                <w:sz w:val="0"/>
                              </w:rPr>
                            </w:pPr>
                            <w:r>
                              <w:rPr>
                                <w:sz w:val="0"/>
                              </w:rPr>
                            </w:r>
                          </w:p>
                        </w:tc>
                        <w:tc>
                          <w:tcPr>
                            <w:tcW w:w="2070" w:type="dxa"/>
                            <w:tcBorders/>
                            <w:vAlign w:val="center"/>
                          </w:tcPr>
                          <w:p>
                            <w:pPr>
                              <w:pStyle w:val="Normal"/>
                              <w:snapToGrid w:val="false"/>
                              <w:rPr>
                                <w:sz w:val="0"/>
                              </w:rPr>
                            </w:pPr>
                            <w:r>
                              <w:rPr>
                                <w:sz w:val="0"/>
                              </w:rPr>
                            </w:r>
                          </w:p>
                        </w:tc>
                        <w:tc>
                          <w:tcPr>
                            <w:tcW w:w="414" w:type="dxa"/>
                            <w:tcBorders/>
                            <w:vAlign w:val="center"/>
                          </w:tcPr>
                          <w:p>
                            <w:pPr>
                              <w:pStyle w:val="Normal"/>
                              <w:snapToGrid w:val="false"/>
                              <w:rPr>
                                <w:sz w:val="0"/>
                              </w:rPr>
                            </w:pPr>
                            <w:r>
                              <w:rPr>
                                <w:sz w:val="0"/>
                              </w:rPr>
                            </w:r>
                          </w:p>
                        </w:tc>
                        <w:tc>
                          <w:tcPr>
                            <w:tcW w:w="2250" w:type="dxa"/>
                            <w:tcBorders/>
                            <w:vAlign w:val="center"/>
                          </w:tcPr>
                          <w:p>
                            <w:pPr>
                              <w:pStyle w:val="Normal"/>
                              <w:snapToGrid w:val="false"/>
                              <w:rPr>
                                <w:sz w:val="0"/>
                              </w:rPr>
                            </w:pPr>
                            <w:r>
                              <w:rPr>
                                <w:sz w:val="0"/>
                              </w:rPr>
                            </w:r>
                          </w:p>
                        </w:tc>
                        <w:tc>
                          <w:tcPr>
                            <w:tcW w:w="2646" w:type="dxa"/>
                            <w:tcBorders/>
                            <w:vAlign w:val="center"/>
                          </w:tcPr>
                          <w:p>
                            <w:pPr>
                              <w:pStyle w:val="Normal"/>
                              <w:snapToGrid w:val="false"/>
                              <w:rPr>
                                <w:sz w:val="0"/>
                              </w:rPr>
                            </w:pPr>
                            <w:r>
                              <w:rPr>
                                <w:sz w:val="0"/>
                              </w:rPr>
                            </w:r>
                          </w:p>
                        </w:tc>
                      </w:tr>
                    </w:tbl>
                  </w:txbxContent>
                </v:textbox>
                <w10:wrap type="square"/>
              </v:rect>
            </w:pict>
          </mc:Fallback>
        </mc:AlternateContent>
      </w:r>
    </w:p>
    <w:p>
      <w:pPr>
        <w:pStyle w:val="Normal"/>
        <w:suppressAutoHyphens w:val="true"/>
        <w:autoSpaceDE w:val="false"/>
        <w:rPr/>
      </w:pPr>
      <w:r>
        <w:rPr/>
        <w:t xml:space="preserve">The California Public Utilities Commission (CPUC) announced this morning that it has cancelled its Continuation Meeting that was previously scheduled for noon today.  </w:t>
      </w:r>
    </w:p>
    <w:p>
      <w:pPr>
        <w:pStyle w:val="Normal"/>
        <w:suppressAutoHyphens w:val="true"/>
        <w:autoSpaceDE w:val="false"/>
        <w:rPr/>
      </w:pPr>
      <w:r>
        <w:rPr/>
        <w:t>The CPUC cancelled the continuation meeting after it received a written request on Monday evening, July 2, 2001, from the Department of Water Resources, the Department of Finance, and the State Treasurer's Office.  In this request, the agencies urged the Commission to postpone until mid-August any action relating to suspension of retail choice and any other items relating to the Department of Water Resources Power Supply Revenue Bonds.  Items H-26 and H-26a on the CPUC's continuation meeting agenda address proposals to suspend the right of retail end users of electricity to acquire service from providers other than the DWR or a public utility.</w:t>
      </w:r>
    </w:p>
    <w:p>
      <w:pPr>
        <w:pStyle w:val="Normal"/>
        <w:suppressAutoHyphens w:val="true"/>
        <w:autoSpaceDE w:val="false"/>
        <w:rPr/>
      </w:pPr>
      <w:r>
        <w:rPr/>
        <w:t>The CPUC will schedule an additional meeting in mid-August to address these issues.  This extension will allow the agencies more time to address any unresolved issues and, ultimately, provide interested parties ample opportunity for review and comment.</w:t>
      </w:r>
    </w:p>
    <w:p>
      <w:pPr>
        <w:pStyle w:val="Normal"/>
        <w:suppressAutoHyphens w:val="true"/>
        <w:autoSpaceDE w:val="false"/>
        <w:rPr/>
      </w:pPr>
      <w:r>
        <w:rPr/>
        <w:t>All other items that were slated for the July 3 continuation meeting will be held over to the Agenda of the Commission's regularly scheduled meeting on July 12.</w:t>
      </w:r>
    </w:p>
    <w:p>
      <w:pPr>
        <w:pStyle w:val="Normal"/>
        <w:suppressAutoHyphens w:val="true"/>
        <w:autoSpaceDE w:val="false"/>
        <w:jc w:val="center"/>
        <w:rPr/>
      </w:pPr>
      <w:r>
        <w:rPr/>
        <w:t>###</w:t>
      </w:r>
    </w:p>
    <w:p>
      <w:pPr>
        <w:pStyle w:val="Normal"/>
        <w:suppressAutoHyphens w:val="true"/>
        <w:autoSpaceDE w:val="false"/>
        <w:rPr/>
      </w:pPr>
      <w:r>
        <w:rPr/>
      </w:r>
    </w:p>
    <w:p>
      <w:pPr>
        <w:pStyle w:val="Normal"/>
        <w:suppressAutoHyphens w:val="true"/>
        <w:autoSpaceDE w:val="fals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variable"/>
  </w:font>
  <w:font w:name="Arial Rounded MT Bold">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CPUC Exempts Oil Refineries From Rotating Outages    Page 2 of 2</w:t>
    </w:r>
  </w:p>
  <w:p>
    <w:pPr>
      <w:pStyle w:val="Footer"/>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ind w:hanging="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78" w:type="dxa"/>
      <w:jc w:val="start"/>
      <w:tblInd w:w="-252" w:type="dxa"/>
      <w:tblLayout w:type="fixed"/>
      <w:tblCellMar>
        <w:top w:w="0" w:type="dxa"/>
        <w:start w:w="108" w:type="dxa"/>
        <w:bottom w:w="0" w:type="dxa"/>
        <w:end w:w="108" w:type="dxa"/>
      </w:tblCellMar>
    </w:tblPr>
    <w:tblGrid>
      <w:gridCol w:w="2101"/>
      <w:gridCol w:w="7877"/>
    </w:tblGrid>
    <w:tr>
      <w:trPr>
        <w:trHeight w:val="608" w:hRule="atLeast"/>
      </w:trPr>
      <w:tc>
        <w:tcPr>
          <w:tcW w:w="2101" w:type="dxa"/>
          <w:vMerge w:val="restart"/>
          <w:tcBorders/>
        </w:tcPr>
        <w:p>
          <w:pPr>
            <w:pStyle w:val="Normal"/>
            <w:tabs>
              <w:tab w:val="clear" w:pos="720"/>
              <w:tab w:val="left" w:pos="1710" w:leader="none"/>
            </w:tabs>
            <w:ind w:hanging="0" w:end="0"/>
            <w:jc w:val="end"/>
            <w:rPr/>
          </w:pPr>
          <w:r>
            <w:rPr/>
            <w:drawing>
              <wp:inline distT="0" distB="0" distL="0" distR="0">
                <wp:extent cx="1036320" cy="1017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64" t="-65" r="-64" b="-65"/>
                        <a:stretch>
                          <a:fillRect/>
                        </a:stretch>
                      </pic:blipFill>
                      <pic:spPr bwMode="auto">
                        <a:xfrm>
                          <a:off x="0" y="0"/>
                          <a:ext cx="1036320" cy="1017905"/>
                        </a:xfrm>
                        <a:prstGeom prst="rect">
                          <a:avLst/>
                        </a:prstGeom>
                        <a:noFill/>
                      </pic:spPr>
                    </pic:pic>
                  </a:graphicData>
                </a:graphic>
              </wp:inline>
            </w:drawing>
          </w:r>
        </w:p>
      </w:tc>
      <w:tc>
        <w:tcPr>
          <w:tcW w:w="7877" w:type="dxa"/>
          <w:tcBorders/>
          <w:vAlign w:val="center"/>
        </w:tcPr>
        <w:p>
          <w:pPr>
            <w:pStyle w:val="Heading1"/>
            <w:pBdr>
              <w:top w:val="nil"/>
            </w:pBdr>
            <w:jc w:val="start"/>
            <w:rPr>
              <w:sz w:val="40"/>
            </w:rPr>
          </w:pPr>
          <w:r>
            <w:rPr>
              <w:sz w:val="40"/>
            </w:rPr>
            <w:t>California Public Utilities Commission</w:t>
          </w:r>
        </w:p>
      </w:tc>
    </w:tr>
    <w:tr>
      <w:trPr>
        <w:trHeight w:val="434" w:hRule="atLeast"/>
      </w:trPr>
      <w:tc>
        <w:tcPr>
          <w:tcW w:w="2101" w:type="dxa"/>
          <w:vMerge w:val="continue"/>
          <w:tcBorders/>
        </w:tcPr>
        <w:p>
          <w:pPr>
            <w:pStyle w:val="Normal"/>
            <w:tabs>
              <w:tab w:val="clear" w:pos="720"/>
              <w:tab w:val="left" w:pos="1710" w:leader="none"/>
            </w:tabs>
            <w:snapToGrid w:val="false"/>
            <w:ind w:hanging="0" w:end="0"/>
            <w:jc w:val="end"/>
            <w:rPr>
              <w:sz w:val="22"/>
            </w:rPr>
          </w:pPr>
          <w:r>
            <w:rPr>
              <w:sz w:val="22"/>
            </w:rPr>
          </w:r>
        </w:p>
      </w:tc>
      <w:tc>
        <w:tcPr>
          <w:tcW w:w="7877" w:type="dxa"/>
          <w:tcBorders/>
          <w:vAlign w:val="center"/>
        </w:tcPr>
        <w:p>
          <w:pPr>
            <w:pStyle w:val="Heading1"/>
            <w:pBdr>
              <w:top w:val="nil"/>
            </w:pBdr>
            <w:rPr>
              <w:sz w:val="22"/>
            </w:rPr>
          </w:pPr>
          <w:r>
            <w:rPr>
              <w:rFonts w:eastAsia="Arial Rounded MT Bold"/>
              <w:sz w:val="22"/>
            </w:rPr>
            <w:t xml:space="preserve">                               </w:t>
          </w:r>
          <w:r>
            <w:rPr>
              <w:sz w:val="22"/>
            </w:rPr>
            <w:t>505 Van Ness Avenue, San Francisco, CA 94102</w:t>
          </w:r>
        </w:p>
      </w:tc>
    </w:tr>
    <w:tr>
      <w:trPr>
        <w:trHeight w:val="557" w:hRule="atLeast"/>
      </w:trPr>
      <w:tc>
        <w:tcPr>
          <w:tcW w:w="2101" w:type="dxa"/>
          <w:vMerge w:val="continue"/>
          <w:tcBorders/>
        </w:tcPr>
        <w:p>
          <w:pPr>
            <w:pStyle w:val="Normal"/>
            <w:tabs>
              <w:tab w:val="clear" w:pos="720"/>
              <w:tab w:val="left" w:pos="1710" w:leader="none"/>
            </w:tabs>
            <w:snapToGrid w:val="false"/>
            <w:ind w:hanging="0" w:end="0"/>
            <w:jc w:val="end"/>
            <w:rPr/>
          </w:pPr>
          <w:r>
            <w:rPr/>
          </w:r>
        </w:p>
      </w:tc>
      <w:tc>
        <w:tcPr>
          <w:tcW w:w="7877" w:type="dxa"/>
          <w:tcBorders/>
          <w:vAlign w:val="center"/>
        </w:tcPr>
        <w:p>
          <w:pPr>
            <w:pStyle w:val="Heading2"/>
            <w:spacing w:lineRule="auto" w:line="240"/>
            <w:ind w:hanging="0" w:start="0" w:end="0"/>
            <w:jc w:val="center"/>
            <w:rPr>
              <w:rFonts w:ascii="Arial" w:hAnsi="Arial" w:cs="Arial"/>
              <w:caps w:val="false"/>
              <w:smallCaps w:val="false"/>
            </w:rPr>
          </w:pPr>
          <w:r>
            <w:rPr>
              <w:rFonts w:eastAsia="Arial" w:cs="Arial" w:ascii="Arial" w:hAnsi="Arial"/>
              <w:caps w:val="false"/>
              <w:smallCaps w:val="false"/>
            </w:rPr>
            <w:t xml:space="preserve">                              </w:t>
          </w:r>
          <w:r>
            <w:rPr>
              <w:rFonts w:cs="Arial" w:ascii="Arial" w:hAnsi="Arial"/>
              <w:caps w:val="false"/>
              <w:smallCaps w:val="false"/>
            </w:rPr>
            <w:t>News Release</w:t>
          </w:r>
        </w:p>
      </w:tc>
    </w:tr>
    <w:tr>
      <w:trPr>
        <w:trHeight w:val="557" w:hRule="atLeast"/>
      </w:trPr>
      <w:tc>
        <w:tcPr>
          <w:tcW w:w="2101" w:type="dxa"/>
          <w:tcBorders/>
        </w:tcPr>
        <w:p>
          <w:pPr>
            <w:pStyle w:val="Normal"/>
            <w:tabs>
              <w:tab w:val="clear" w:pos="720"/>
              <w:tab w:val="left" w:pos="1710" w:leader="none"/>
            </w:tabs>
            <w:snapToGrid w:val="false"/>
            <w:ind w:hanging="0" w:end="0"/>
            <w:jc w:val="end"/>
            <w:rPr>
              <w:rFonts w:ascii="Arial" w:hAnsi="Arial" w:cs="Arial"/>
              <w:caps w:val="false"/>
              <w:smallCaps w:val="false"/>
            </w:rPr>
          </w:pPr>
          <w:r>
            <w:rPr>
              <w:rFonts w:cs="Arial" w:ascii="Arial" w:hAnsi="Arial"/>
              <w:caps w:val="false"/>
              <w:smallCaps w:val="false"/>
            </w:rPr>
          </w:r>
        </w:p>
      </w:tc>
      <w:tc>
        <w:tcPr>
          <w:tcW w:w="7877" w:type="dxa"/>
          <w:tcBorders/>
          <w:vAlign w:val="center"/>
        </w:tcPr>
        <w:p>
          <w:pPr>
            <w:pStyle w:val="Heading2"/>
            <w:snapToGrid w:val="false"/>
            <w:spacing w:lineRule="auto" w:line="240"/>
            <w:ind w:hanging="0" w:start="0" w:end="0"/>
            <w:jc w:val="center"/>
            <w:rPr>
              <w:rFonts w:ascii="Arial" w:hAnsi="Arial" w:cs="Arial"/>
              <w:caps w:val="false"/>
              <w:smallCaps w:val="false"/>
            </w:rPr>
          </w:pPr>
          <w:r>
            <w:rPr>
              <w:rFonts w:cs="Arial" w:ascii="Arial" w:hAnsi="Arial"/>
              <w:caps w:val="false"/>
              <w:smallCaps w:val="fals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ind w:firstLine="720" w:start="0" w:end="0"/>
    </w:pPr>
    <w:rPr>
      <w:rFonts w:ascii="Bookman;Bookman Old Style" w:hAnsi="Bookman;Bookman Old Style" w:eastAsia="Times New Roman" w:cs="Bookman;Bookman Old Style"/>
      <w:color w:val="auto"/>
      <w:sz w:val="24"/>
      <w:szCs w:val="20"/>
      <w:lang w:val="en-US" w:bidi="ar-SA" w:eastAsia="zh-CN"/>
    </w:rPr>
  </w:style>
  <w:style w:type="paragraph" w:styleId="Heading1">
    <w:name w:val="heading 1"/>
    <w:basedOn w:val="Normal"/>
    <w:next w:val="Normal"/>
    <w:qFormat/>
    <w:pPr>
      <w:keepNext w:val="true"/>
      <w:numPr>
        <w:ilvl w:val="0"/>
        <w:numId w:val="1"/>
      </w:numPr>
      <w:pBdr>
        <w:top w:val="single" w:sz="6" w:space="1" w:color="000000"/>
      </w:pBdr>
      <w:spacing w:lineRule="auto" w:line="240"/>
      <w:ind w:hanging="0" w:start="0" w:end="0"/>
      <w:jc w:val="center"/>
      <w:outlineLvl w:val="0"/>
    </w:pPr>
    <w:rPr>
      <w:rFonts w:ascii="Arial Rounded MT Bold" w:hAnsi="Arial Rounded MT Bold" w:cs="Arial Rounded MT Bold"/>
      <w:sz w:val="44"/>
    </w:rPr>
  </w:style>
  <w:style w:type="paragraph" w:styleId="Heading2">
    <w:name w:val="heading 2"/>
    <w:basedOn w:val="Normal"/>
    <w:next w:val="Normal"/>
    <w:qFormat/>
    <w:pPr>
      <w:keepNext w:val="true"/>
      <w:numPr>
        <w:ilvl w:val="1"/>
        <w:numId w:val="1"/>
      </w:numPr>
      <w:jc w:val="end"/>
      <w:outlineLvl w:val="1"/>
    </w:pPr>
    <w:rPr>
      <w:rFonts w:ascii="Arial Black" w:hAnsi="Arial Black" w:cs="Arial Black"/>
      <w:smallCaps/>
      <w:sz w:val="4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leaseDate">
    <w:name w:val="ReleaseDate"/>
    <w:basedOn w:val="Normal"/>
    <w:qFormat/>
    <w:pPr>
      <w:tabs>
        <w:tab w:val="clear" w:pos="720"/>
        <w:tab w:val="left" w:pos="2880" w:leader="none"/>
      </w:tabs>
      <w:spacing w:lineRule="auto" w:line="240"/>
      <w:ind w:hanging="18" w:start="0" w:end="0"/>
      <w:jc w:val="end"/>
    </w:pPr>
    <w:rPr>
      <w:sz w:val="20"/>
    </w:rPr>
  </w:style>
  <w:style w:type="paragraph" w:styleId="ReleaseHead">
    <w:name w:val="ReleaseHead"/>
    <w:basedOn w:val="Normal"/>
    <w:qFormat/>
    <w:pPr>
      <w:spacing w:lineRule="auto" w:line="240" w:before="0" w:after="180"/>
      <w:ind w:hanging="0" w:start="0" w:end="0"/>
      <w:jc w:val="center"/>
      <w:outlineLvl w:val="0"/>
    </w:pPr>
    <w:rPr>
      <w:b/>
      <w:cap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ffName">
    <w:name w:val="StaffName"/>
    <w:basedOn w:val="ReleaseDate"/>
    <w:next w:val="ReleaseHead"/>
    <w:qFormat/>
    <w:pPr>
      <w:tabs>
        <w:tab w:val="left" w:pos="2880" w:leader="none"/>
        <w:tab w:val="left" w:pos="3870" w:leader="none"/>
      </w:tabs>
      <w:spacing w:lineRule="auto" w:line="240"/>
      <w:ind w:hanging="0" w:start="0" w:end="0"/>
    </w:pPr>
    <w:rPr>
      <w:sz w:val="22"/>
    </w:rPr>
  </w:style>
  <w:style w:type="paragraph" w:styleId="ReleaseNo">
    <w:name w:val="Release No."/>
    <w:basedOn w:val="ReleaseDate"/>
    <w:qFormat/>
    <w:pPr/>
    <w:rPr/>
  </w:style>
  <w:style w:type="paragraph" w:styleId="contactname">
    <w:name w:val="contactname"/>
    <w:basedOn w:val="ReleaseDate"/>
    <w:qFormat/>
    <w:pPr/>
    <w:rPr>
      <w:sz w:val="20"/>
    </w:rPr>
  </w:style>
  <w:style w:type="paragraph" w:styleId="contactphone">
    <w:name w:val="contactphone"/>
    <w:basedOn w:val="ReleaseDate"/>
    <w:qFormat/>
    <w:pPr/>
    <w:rPr/>
  </w:style>
  <w:style w:type="paragraph" w:styleId="contacthdr">
    <w:name w:val="contacthdr"/>
    <w:basedOn w:val="ReleaseDate"/>
    <w:qFormat/>
    <w:pPr/>
    <w:rPr>
      <w:b/>
    </w:rPr>
  </w:style>
  <w:style w:type="paragraph" w:styleId="numberPrefix">
    <w:name w:val="numberPrefix"/>
    <w:basedOn w:val="ReleaseNo"/>
    <w:qFormat/>
    <w:pPr/>
    <w:rPr>
      <w:b/>
    </w:rPr>
  </w:style>
  <w:style w:type="paragraph" w:styleId="TableofAuthorities">
    <w:name w:val="Table of Authorities"/>
    <w:basedOn w:val="Normal"/>
    <w:next w:val="Normal"/>
    <w:qFormat/>
    <w:pPr>
      <w:ind w:hanging="240" w:start="240" w:end="0"/>
    </w:pPr>
    <w:rPr/>
  </w:style>
  <w:style w:type="paragraph" w:styleId="ReleasePara">
    <w:name w:val="ReleasePara"/>
    <w:basedOn w:val="ReleaseHead"/>
    <w:qFormat/>
    <w:pPr>
      <w:spacing w:lineRule="auto" w:line="360" w:before="0" w:after="0"/>
      <w:ind w:firstLine="720" w:start="0" w:end="0"/>
      <w:jc w:val="start"/>
    </w:pPr>
    <w:rPr>
      <w:b w:val="false"/>
      <w:caps w:val="false"/>
      <w:smallCaps w:val="false"/>
      <w:sz w:val="22"/>
    </w:rPr>
  </w:style>
  <w:style w:type="paragraph" w:styleId="Thirty">
    <w:name w:val="Thirty"/>
    <w:basedOn w:val="ReleasePara"/>
    <w:qFormat/>
    <w:pPr>
      <w:spacing w:lineRule="auto" w:line="240" w:before="120" w:after="0"/>
      <w:ind w:hanging="0" w:start="0" w:end="0"/>
      <w:jc w:val="center"/>
    </w:pPr>
    <w:rPr/>
  </w:style>
  <w:style w:type="paragraph" w:styleId="BodyTextIndent">
    <w:name w:val="Body Text Indent"/>
    <w:basedOn w:val="Normal"/>
    <w:pPr/>
    <w:rPr/>
  </w:style>
  <w:style w:type="paragraph" w:styleId="BodyText2">
    <w:name w:val="Body Text 2"/>
    <w:basedOn w:val="Normal"/>
    <w:qFormat/>
    <w:pPr>
      <w:ind w:hanging="0" w:start="0" w:end="0"/>
    </w:pPr>
    <w:rPr>
      <w:rFonts w:ascii="Times New Roman" w:hAnsi="Times New Roman" w:cs="Times New Roman"/>
    </w:rPr>
  </w:style>
  <w:style w:type="paragraph" w:styleId="BodyText3">
    <w:name w:val="Body Text 3"/>
    <w:basedOn w:val="Normal"/>
    <w:qFormat/>
    <w:pPr>
      <w:ind w:hanging="0" w:start="0" w:end="0"/>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Release template for webpub format.dot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2001-07-03T14:31:00Z</dcterms:created>
  <dc:creator>Armando Rendon</dc:creator>
  <dc:description/>
  <dc:language>en-CA</dc:language>
  <cp:lastModifiedBy>Bill Chen</cp:lastModifiedBy>
  <cp:lastPrinted>2001-07-03T08:53:00Z</cp:lastPrinted>
  <dcterms:modified xsi:type="dcterms:W3CDTF">2001-07-03T14:31:00Z</dcterms:modified>
  <cp:revision>2</cp:revision>
  <dc:subject/>
  <dc:title> </dc:title>
</cp:coreProperties>
</file>