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CONFIDENTIAL/DO NOT DISTRIBUTE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PGE Briefing Sheet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NNG may finalize their offer within the next two weeks—i.e., while I’m on vacation.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At this time it looks like the transaction may involve the formation of a holding company that would own both NNG and PGE.  A single equity investor will hold a substantial, but not controlling, interest in the holding company.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Regulatory forums:  (a) Oregon PUC; (b) Washington UTC—NNG serves Clark County, WA and receives about 10% of their revenues from Washington state; (b) Anti-trust Division (Hart-Scott-Rodino); (c) Nuclear Regulatory Commission—jurisdiction unlikely, given rulings to date; (d) FERC; and (e) SEC.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Oregon PUC review will likely fall under ORS 757.511—the same statute used to review the Enron/PGE transaction.   ORS 757.511 is implicated because:  (a) holding company application will exercise influence over NNG; (b) holding company will exercise influence of PGE; and (c) KKR will be an affiliate of NNG and PGE by virtue of its equity ownership.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numPr>
          <w:ilvl w:val="0"/>
          <w:numId w:val="1"/>
        </w:numPr>
        <w:rPr/>
      </w:pPr>
      <w:r>
        <w:rPr/>
        <w:t>Washington UTC review may fall under their general power statute and a statute requiring approval before a Washington utility can transfer ownership or control over facilities (NNG to holding company).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NNG asked Mark Metts and Mitch T. for permission to have a meeting with Oregon Commissioners prior to execution of a sale agreement: </w:t>
      </w:r>
    </w:p>
    <w:p>
      <w:pPr>
        <w:pStyle w:val="Normal"/>
        <w:numPr>
          <w:ilvl w:val="1"/>
          <w:numId w:val="1"/>
        </w:numPr>
        <w:rPr/>
      </w:pPr>
      <w:r>
        <w:rPr/>
        <w:t>NNG’s purpose:  to assess view of transaction and whether there is support for “a return of PGE to Oregon.”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Recommended attendees:  Rick Shapiro or Jim Steffes and Mark Dodson, COO and President NNG.  I do not think it’s necessary for PGE to participate.   NNG (not PGE) owns the proposed transaction at this point.  The issues are their issues.  </w:t>
      </w:r>
    </w:p>
    <w:p>
      <w:pPr>
        <w:pStyle w:val="Normal"/>
        <w:numPr>
          <w:ilvl w:val="1"/>
          <w:numId w:val="1"/>
        </w:numPr>
        <w:rPr/>
      </w:pPr>
      <w:r>
        <w:rPr/>
        <w:t>Discussion at the pre-meeting should be somewhat generic and hypothetical in nature: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What if NNG acquired PGE?  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What if we formed a holding company to accommodate the purchase?  </w:t>
      </w:r>
    </w:p>
    <w:p>
      <w:pPr>
        <w:pStyle w:val="Normal"/>
        <w:numPr>
          <w:ilvl w:val="2"/>
          <w:numId w:val="1"/>
        </w:numPr>
        <w:rPr/>
      </w:pPr>
      <w:r>
        <w:rPr/>
        <w:t>What if the holding company wasn’t investment grade, but the utilities maintained investment grade ratings?</w:t>
      </w:r>
    </w:p>
    <w:p>
      <w:pPr>
        <w:pStyle w:val="Normal"/>
        <w:numPr>
          <w:ilvl w:val="2"/>
          <w:numId w:val="1"/>
        </w:numPr>
        <w:rPr/>
      </w:pPr>
      <w:r>
        <w:rPr/>
        <w:t>What if this grade was a drop below current ratings?</w:t>
      </w:r>
    </w:p>
    <w:p>
      <w:pPr>
        <w:pStyle w:val="Normal"/>
        <w:numPr>
          <w:ilvl w:val="2"/>
          <w:numId w:val="1"/>
        </w:numPr>
        <w:rPr/>
      </w:pPr>
      <w:r>
        <w:rPr/>
        <w:t>What if there was an outside investor in the holding company?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Issues to watch for:  </w:t>
      </w:r>
    </w:p>
    <w:p>
      <w:pPr>
        <w:pStyle w:val="Normal"/>
        <w:numPr>
          <w:ilvl w:val="2"/>
          <w:numId w:val="1"/>
        </w:numPr>
        <w:rPr/>
      </w:pPr>
      <w:r>
        <w:rPr/>
        <w:t>Loss of investment grade rating and drop of rating for PGE;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Representations re:  management.  My guess is that OPUC will want to understand management structure.  </w:t>
      </w:r>
    </w:p>
    <w:p>
      <w:pPr>
        <w:pStyle w:val="Normal"/>
        <w:numPr>
          <w:ilvl w:val="2"/>
          <w:numId w:val="1"/>
        </w:numPr>
        <w:rPr/>
      </w:pPr>
      <w:r>
        <w:rPr/>
        <w:t>Questions re:  price.  Mark M. and Mitch T. are concerned that OPUC will say “price is too high” or “we won’t like a transaction that negatively affects capital structure.”  Concern is that OPUC will use opportunity to “whipsaw” Enron.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Questions re:  Enron participation in holding company.  Mark D. should not respond to this question.  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Questions re: equity investor in holding company.  We want this discussion to stay generic in case the equity investor changes or the character of the investment changes. 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Will NNG seek to recover goodwill in transaction?  I’m not sure how NNG views this issue; however, it was a major issue in the Sierra/PGE transaction and delayed OPUC approval substantially.  We were able to get:  (a) a rate freeze during which Sierra could have used excess earnings to amortize goodwill; and (b) a “save the issue for later argument” clause. 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Enron and NNG will want to brief OPUC commissioners of sale to NNG (should an agreement be executed). 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Meetings should be scheduled just prior to public announcement of transaction—after Wall Street close.  </w:t>
      </w:r>
    </w:p>
    <w:p>
      <w:pPr>
        <w:pStyle w:val="Normal"/>
        <w:numPr>
          <w:ilvl w:val="1"/>
          <w:numId w:val="1"/>
        </w:numPr>
        <w:rPr/>
      </w:pPr>
      <w:r>
        <w:rPr/>
        <w:t>Participants in meeting:  Mark D., Peggy F., Mark M?  I think there is value in having this meeting be a “businessman’s meeting.”  For two reasons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it promotes the “white night” image.  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It also:  </w:t>
      </w:r>
    </w:p>
    <w:p>
      <w:pPr>
        <w:pStyle w:val="Normal"/>
        <w:numPr>
          <w:ilvl w:val="3"/>
          <w:numId w:val="1"/>
        </w:numPr>
        <w:rPr/>
      </w:pPr>
      <w:r>
        <w:rPr/>
        <w:t>allows the GA folks to work with Staff and if necessary to disagree with staff; while</w:t>
      </w:r>
    </w:p>
    <w:p>
      <w:pPr>
        <w:pStyle w:val="Normal"/>
        <w:numPr>
          <w:ilvl w:val="3"/>
          <w:numId w:val="1"/>
        </w:numPr>
        <w:rPr/>
      </w:pPr>
      <w:r>
        <w:rPr/>
        <w:t>preserving the “let’s take it to the Commission” option—assuming the “businessman’s meeting” goes well.</w:t>
      </w:r>
    </w:p>
    <w:p>
      <w:pPr>
        <w:pStyle w:val="Normal"/>
        <w:numPr>
          <w:ilvl w:val="2"/>
          <w:numId w:val="1"/>
        </w:numPr>
        <w:rPr/>
      </w:pPr>
      <w:r>
        <w:rPr/>
        <w:t>If GA folks are to attend, then I recommend Mark D., Pamela Lesh from PGE attends, and either Rick S. or Jim S.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In any event, Mark D. should be the primary speaker—again to promote the “white night.” 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Briefing should be limited to:  (a) formation of holding company; (b) who is managing the holding company; (c) no change to overall structure of PGE or NNG; (d) filing date; (e) other regulatory reviews necessary; and (f) any other details that will be included in press release (or were discussed in the other meeting discussed above.  I would not discuss price or rate relief. 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As above, I would expect questions on:  (a) organizational structure; (b) credit rating; (c) management; (d) goodwill recovery; (e) rate freeze or rate credits; (f) whether NNG will accept a “net benefits” test for ORS 757.511—NNG filed a brief challenging the net benefits standard in the merger statute.   Also expect other questions arising from any pre-meeting held (as above).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NNG may want to meet with Washington UTC Commissioners.  While this may be their determination, I recommend personal phone calls with the Commissioners (with the offer to meet personally extended).  We do not want to elevate the issue of WUTC review.  NNG is a minor player in the state; while some regulatory review is likely we want to minimize the review requirements.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2001-07-02T21:05:00Z</dcterms:created>
  <dc:creator>pkaufma</dc:creator>
  <dc:description/>
  <dc:language>en-CA</dc:language>
  <cp:lastModifiedBy>pkaufma</cp:lastModifiedBy>
  <cp:lastPrinted>2001-07-02T17:21:00Z</cp:lastPrinted>
  <dcterms:modified xsi:type="dcterms:W3CDTF">2001-07-02T22:17:00Z</dcterms:modified>
  <cp:revision>2</cp:revision>
  <dc:subject/>
  <dc:title>CONFIDENTIAL/DO NOT DISTRIBUTE</dc:title>
</cp:coreProperties>
</file>