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October 22, 2001</w:t>
      </w:r>
    </w:p>
    <w:p>
      <w:pPr>
        <w:pStyle w:val="Normal"/>
        <w:jc w:val="center"/>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b/>
          <w:i/>
          <w:sz w:val="20"/>
          <w:u w:val="single"/>
        </w:rPr>
        <w:t>VIA E-MAIL</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Mr. Todd Perkins</w:t>
      </w:r>
    </w:p>
    <w:p>
      <w:pPr>
        <w:pStyle w:val="Normal"/>
        <w:jc w:val="both"/>
        <w:rPr>
          <w:rFonts w:ascii="Times New Roman" w:hAnsi="Times New Roman" w:cs="Times New Roman"/>
          <w:sz w:val="20"/>
        </w:rPr>
      </w:pPr>
      <w:r>
        <w:rPr>
          <w:rFonts w:cs="Times New Roman" w:ascii="Times New Roman" w:hAnsi="Times New Roman"/>
          <w:sz w:val="20"/>
        </w:rPr>
        <w:t>Southern Company</w:t>
      </w:r>
    </w:p>
    <w:p>
      <w:pPr>
        <w:pStyle w:val="Normal"/>
        <w:jc w:val="both"/>
        <w:rPr>
          <w:rFonts w:ascii="Times New Roman" w:hAnsi="Times New Roman" w:cs="Times New Roman"/>
          <w:sz w:val="20"/>
        </w:rPr>
      </w:pPr>
      <w:r>
        <w:rPr>
          <w:rFonts w:cs="Times New Roman" w:ascii="Times New Roman" w:hAnsi="Times New Roman"/>
          <w:sz w:val="20"/>
        </w:rPr>
        <w:t>270 Peachtree Street</w:t>
      </w:r>
    </w:p>
    <w:p>
      <w:pPr>
        <w:pStyle w:val="Normal"/>
        <w:jc w:val="both"/>
        <w:rPr>
          <w:rFonts w:ascii="Times New Roman" w:hAnsi="Times New Roman" w:cs="Times New Roman"/>
          <w:sz w:val="20"/>
        </w:rPr>
      </w:pPr>
      <w:r>
        <w:rPr>
          <w:rFonts w:cs="Times New Roman" w:ascii="Times New Roman" w:hAnsi="Times New Roman"/>
          <w:sz w:val="20"/>
        </w:rPr>
        <w:t>Suite 2000</w:t>
      </w:r>
    </w:p>
    <w:p>
      <w:pPr>
        <w:pStyle w:val="Normal"/>
        <w:jc w:val="both"/>
        <w:rPr>
          <w:rFonts w:ascii="Times New Roman" w:hAnsi="Times New Roman" w:cs="Times New Roman"/>
          <w:sz w:val="20"/>
        </w:rPr>
      </w:pPr>
      <w:r>
        <w:rPr>
          <w:rFonts w:cs="Times New Roman" w:ascii="Times New Roman" w:hAnsi="Times New Roman"/>
          <w:sz w:val="20"/>
        </w:rPr>
        <w:t>Atlanta, Georgia  30303</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s>
        <w:ind w:hanging="1440" w:start="1440" w:end="0"/>
        <w:jc w:val="both"/>
        <w:rPr>
          <w:rFonts w:ascii="Times New Roman" w:hAnsi="Times New Roman" w:cs="Times New Roman"/>
          <w:b/>
          <w:i/>
          <w:i/>
          <w:sz w:val="20"/>
        </w:rPr>
      </w:pPr>
      <w:r>
        <w:rPr>
          <w:rFonts w:cs="Times New Roman" w:ascii="Times New Roman" w:hAnsi="Times New Roman"/>
          <w:b/>
          <w:i/>
          <w:sz w:val="20"/>
        </w:rPr>
        <w:tab/>
        <w:t>Re:</w:t>
        <w:tab/>
        <w:t>Draft Master Agreement between Enron North America Corp. and Georgia Power Company</w:t>
      </w:r>
    </w:p>
    <w:p>
      <w:pPr>
        <w:pStyle w:val="Normal"/>
        <w:jc w:val="both"/>
        <w:rPr>
          <w:rFonts w:ascii="Times New Roman" w:hAnsi="Times New Roman" w:cs="Times New Roman"/>
          <w:b/>
          <w:i/>
          <w:i/>
          <w:sz w:val="20"/>
        </w:rPr>
      </w:pPr>
      <w:r>
        <w:rPr>
          <w:rFonts w:cs="Times New Roman" w:ascii="Times New Roman" w:hAnsi="Times New Roman"/>
          <w:b/>
          <w:i/>
          <w:sz w:val="20"/>
        </w:rPr>
      </w:r>
    </w:p>
    <w:p>
      <w:pPr>
        <w:pStyle w:val="Normal"/>
        <w:jc w:val="both"/>
        <w:rPr>
          <w:rFonts w:ascii="Times New Roman" w:hAnsi="Times New Roman" w:cs="Times New Roman"/>
          <w:sz w:val="20"/>
        </w:rPr>
      </w:pPr>
      <w:r>
        <w:rPr>
          <w:rFonts w:cs="Times New Roman" w:ascii="Times New Roman" w:hAnsi="Times New Roman"/>
          <w:sz w:val="20"/>
        </w:rPr>
        <w:t>Dear Mr. Perkins:</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In response to your request that we enter into a single ISDA that includes six of your subsidiaries, please be advised that we cannot enter into such an arrangement.  We can either enter into an ISDA with Southern Company Services, Inc. thereby allowing Southern Company Services, Inc. to enter into back to back transactions with its affiliates, or a separate ISDA with each of the six subsidiaries.</w:t>
      </w:r>
    </w:p>
    <w:p>
      <w:pPr>
        <w:pStyle w:val="Normal"/>
        <w:jc w:val="both"/>
        <w:rPr>
          <w:rFonts w:ascii="Times New Roman" w:hAnsi="Times New Roman" w:cs="Times New Roman"/>
          <w:sz w:val="20"/>
        </w:rPr>
      </w:pPr>
      <w:r>
        <w:rPr>
          <w:rFonts w:cs="Times New Roman" w:ascii="Times New Roman" w:hAnsi="Times New Roman"/>
          <w:sz w:val="20"/>
        </w:rPr>
      </w:r>
    </w:p>
    <w:p>
      <w:pPr>
        <w:pStyle w:val="Normal"/>
        <w:spacing w:before="0" w:after="120"/>
        <w:jc w:val="both"/>
        <w:rPr>
          <w:rFonts w:ascii="Times New Roman" w:hAnsi="Times New Roman" w:cs="Times New Roman"/>
          <w:sz w:val="20"/>
        </w:rPr>
      </w:pPr>
      <w:r>
        <w:rPr>
          <w:rFonts w:cs="Times New Roman" w:ascii="Times New Roman" w:hAnsi="Times New Roman"/>
          <w:sz w:val="20"/>
        </w:rPr>
        <w:tab/>
        <w:t>Additionally, we have reviewed your comments to the referenced agreement and have the following comments:</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Incorporation information – change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Threshold Amount” – change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1(c) – change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1(e) - we prefer to choose Loss versus Market Quotation.  It may not be possible to obtain commercially representative market quotations (e.g. for long-dated or exotic commodity-based transactions); furthermore, such quotations may be conditional upon pre-existing contractual or credit arrangements with a dealer.  It is for this reason, and for the flexibility in determining damages, which the Loss method allows, that we favor the use of Loss.</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1(g) – deleted as requested</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Paragraph 1, Part 1(h) – we did not make your change.  This provision is designed to get at situations unique to regulated entities.  Enron North America Corp. is not a regulated entity.  Paragraph 2, Part 1(h) – we prefer to keep the MAC definition in the Credit Support Annex to lower the collateral threshold to zero, if triggered.  It would become an Event of Default if collateral was not delivered after the threshold was lowered.</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2(b)(ii) – change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3 – changes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4(a) – changes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4(c) – changes included with the exception of the last sentence and a slight modification to the penultimate sentence.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4(g) – change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4(h) – we also changed the venue of arbitration to New York.</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5(e) – rather than change the timing to “four” Local Business Days, we would propose to change “two” Local Business Days to “three” Local Business Days.</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5(j) – we prefer to keep the language as in the initial draft.</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5(n) – We agree to delete this section as long as the parties have not entered into transactions prior to execution of the master agreement.</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Part 6(h) – Because we deal in many markets where there may be little liquidity, Part 6(h) was added to ensure that our counterparties recognize that some OTC commodity derivative transactions occur in markets where there is little liquidity.  Because of the lack of liquidity (i) it may be difficult to get quotes from someone other than the dealer with whom the deal was done, (ii) the prices quoted for entering into, modifying or terminating a transaction may be different than if the transaction were traded in a liquid market, and (iii) any valuations given by the dealer may not reflect its bookkeeping or theoretical model-based valuations because of other factors such as the creditworthiness of the counterparty, costs of carry, use of capital and profit.</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Paragraph 13 - incorporation information – change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Paragraph 13(iv)(B) – we cannot agree to increase Georgia Power’s threshold as financial statements do not substantiate increasing its threshold to $40,000,000.</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Paragraph 13(iv)(C) – we would propose $100,000 for the “Minimum Transfer Amount”.</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Paragraph 13(d) – we cannot agree to this change.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Paragraph 13(f)(ii) – changes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Paragraph 13(g)(ii)(2) – changes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Paragraph 13(m)(i) – definition of “Credit Rating” – changes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Paragraph 13(m)(i) – definition of “Material Adverse Change” – this should be the lower of the senior unsecured credit ratings of “BBB-” (S&amp;P) or “Baa3” (Moody’s).  Please see our revised language.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Exhibit A – Letter of Credit Provisions – change made</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Paragraph 2 – Enron Corp. guaranty – we prefer the notice and cure period prior to going to the guarantor.</w:t>
      </w:r>
    </w:p>
    <w:p>
      <w:pPr>
        <w:pStyle w:val="Normal"/>
        <w:numPr>
          <w:ilvl w:val="0"/>
          <w:numId w:val="2"/>
        </w:numPr>
        <w:spacing w:before="0" w:after="120"/>
        <w:jc w:val="both"/>
        <w:rPr>
          <w:rFonts w:ascii="Times New Roman" w:hAnsi="Times New Roman" w:cs="Times New Roman"/>
          <w:sz w:val="20"/>
        </w:rPr>
      </w:pPr>
      <w:r>
        <w:rPr>
          <w:rFonts w:cs="Times New Roman" w:ascii="Times New Roman" w:hAnsi="Times New Roman"/>
          <w:sz w:val="20"/>
        </w:rPr>
        <w:t>Paragraph 7 – Enron Corp. guaranty – changes made</w:t>
      </w:r>
    </w:p>
    <w:p>
      <w:pPr>
        <w:pStyle w:val="BodyTextIndent"/>
        <w:spacing w:before="0" w:after="120"/>
        <w:rPr>
          <w:sz w:val="20"/>
        </w:rPr>
      </w:pPr>
      <w:r>
        <w:rPr>
          <w:sz w:val="20"/>
        </w:rPr>
        <w:t>With respect to Savannah Electric and Power Company, the above comments will apply; however, we will agree to (i) increase the “cross default” threshold from “$2,000,000” to “$10,000,000”; (ii) increase the threshold from “$5,000,000” to “$10,000,000” and (iii) increase the “Minimum Transfer Amount” from “$0” to “$100,000”.</w:t>
      </w:r>
    </w:p>
    <w:p>
      <w:pPr>
        <w:pStyle w:val="Normal"/>
        <w:spacing w:before="0" w:after="120"/>
        <w:ind w:firstLine="720" w:end="0"/>
        <w:jc w:val="both"/>
        <w:rPr>
          <w:rFonts w:ascii="Times New Roman" w:hAnsi="Times New Roman" w:cs="Times New Roman"/>
          <w:sz w:val="20"/>
        </w:rPr>
      </w:pPr>
      <w:r>
        <w:rPr>
          <w:rFonts w:cs="Times New Roman" w:ascii="Times New Roman" w:hAnsi="Times New Roman"/>
          <w:sz w:val="20"/>
        </w:rPr>
        <w:t>With respect to Mississippi Power Company, the above comments will apply; however, we will agree to (i) increase the “cross default” threshold from “$10,000,000” to “$20,000,000”; (ii) increase the threshold from “$10,000,000” to “$15,000,000” and (iii) increase the “Minimum Transfer Amount” from “$0” to “$100,000”.</w:t>
      </w:r>
    </w:p>
    <w:p>
      <w:pPr>
        <w:pStyle w:val="BodyText"/>
        <w:rPr/>
      </w:pPr>
      <w:r>
        <w:rPr/>
        <w:tab/>
        <w:t>If you have any questions or comments, please call me at (713) 853-7124.  We look forward to hearing your comments.</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start="5040" w:end="0"/>
        <w:jc w:val="both"/>
        <w:rPr>
          <w:rFonts w:ascii="Times New Roman" w:hAnsi="Times New Roman" w:cs="Times New Roman"/>
          <w:sz w:val="20"/>
        </w:rPr>
      </w:pPr>
      <w:r>
        <w:rPr>
          <w:rFonts w:cs="Times New Roman" w:ascii="Times New Roman" w:hAnsi="Times New Roman"/>
          <w:sz w:val="20"/>
        </w:rPr>
        <w:t>Very truly yours,</w:t>
      </w:r>
    </w:p>
    <w:p>
      <w:pPr>
        <w:pStyle w:val="Normal"/>
        <w:ind w:start="5040" w:end="0"/>
        <w:jc w:val="both"/>
        <w:rPr>
          <w:rFonts w:ascii="Times New Roman" w:hAnsi="Times New Roman" w:cs="Times New Roman"/>
          <w:sz w:val="20"/>
        </w:rPr>
      </w:pPr>
      <w:r>
        <w:rPr>
          <w:rFonts w:cs="Times New Roman" w:ascii="Times New Roman" w:hAnsi="Times New Roman"/>
          <w:sz w:val="20"/>
        </w:rPr>
      </w:r>
    </w:p>
    <w:p>
      <w:pPr>
        <w:pStyle w:val="Normal"/>
        <w:ind w:start="5040" w:end="0"/>
        <w:jc w:val="both"/>
        <w:rPr>
          <w:rFonts w:ascii="Times New Roman" w:hAnsi="Times New Roman" w:cs="Times New Roman"/>
          <w:sz w:val="20"/>
        </w:rPr>
      </w:pPr>
      <w:r>
        <w:rPr>
          <w:rFonts w:cs="Times New Roman" w:ascii="Times New Roman" w:hAnsi="Times New Roman"/>
          <w:sz w:val="20"/>
        </w:rPr>
      </w:r>
    </w:p>
    <w:p>
      <w:pPr>
        <w:pStyle w:val="Normal"/>
        <w:ind w:start="5040" w:end="0"/>
        <w:jc w:val="both"/>
        <w:rPr>
          <w:rFonts w:ascii="Times New Roman" w:hAnsi="Times New Roman" w:cs="Times New Roman"/>
          <w:sz w:val="20"/>
        </w:rPr>
      </w:pPr>
      <w:r>
        <w:rPr>
          <w:rFonts w:cs="Times New Roman" w:ascii="Times New Roman" w:hAnsi="Times New Roman"/>
          <w:sz w:val="20"/>
        </w:rPr>
        <w:t>Brent Hendry</w:t>
      </w:r>
    </w:p>
    <w:p>
      <w:pPr>
        <w:pStyle w:val="Normal"/>
        <w:ind w:start="5040" w:end="0"/>
        <w:jc w:val="both"/>
        <w:rPr>
          <w:rFonts w:ascii="Times New Roman" w:hAnsi="Times New Roman" w:cs="Times New Roman"/>
          <w:sz w:val="20"/>
        </w:rPr>
      </w:pPr>
      <w:r>
        <w:rPr>
          <w:rFonts w:cs="Times New Roman" w:ascii="Times New Roman" w:hAnsi="Times New Roman"/>
          <w:sz w:val="20"/>
        </w:rPr>
        <w:t>Senior Counsel</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attachment</w:t>
      </w:r>
    </w:p>
    <w:p>
      <w:pPr>
        <w:pStyle w:val="Normal"/>
        <w:tabs>
          <w:tab w:val="clear" w:pos="720"/>
          <w:tab w:val="left" w:pos="36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360" w:leader="none"/>
        </w:tabs>
        <w:jc w:val="both"/>
        <w:rPr>
          <w:rFonts w:ascii="Times New Roman" w:hAnsi="Times New Roman" w:cs="Times New Roman"/>
          <w:sz w:val="20"/>
        </w:rPr>
      </w:pPr>
      <w:r>
        <w:rPr>
          <w:rFonts w:cs="Times New Roman" w:ascii="Times New Roman" w:hAnsi="Times New Roman"/>
          <w:sz w:val="20"/>
        </w:rPr>
        <w:t>cc:</w:t>
        <w:tab/>
        <w:tab/>
        <w:t>Veronica Espinoza, Credit (w/att)</w:t>
      </w:r>
    </w:p>
    <w:p>
      <w:pPr>
        <w:pStyle w:val="Normal"/>
        <w:rPr>
          <w:rFonts w:ascii="Times New Roman" w:hAnsi="Times New Roman" w:cs="Times New Roman"/>
          <w:sz w:val="20"/>
        </w:rPr>
      </w:pPr>
      <w:r>
        <w:rPr>
          <w:rFonts w:cs="Times New Roman" w:ascii="Times New Roman" w:hAnsi="Times New Roman"/>
          <w:sz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/mnt/main-storage/datasets/enron-docs/doc/069ltr.doc</w:t>
    </w:r>
    <w:r>
      <w:rPr>
        <w:sz w:val="12"/>
      </w:rPr>
      <w:fldChar w:fldCharType="end"/>
    </w:r>
  </w:p>
  <w:p>
    <w:pPr>
      <w:pStyle w:val="Foo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ang2">
    <w:name w:val="hang2"/>
    <w:basedOn w:val="Normal"/>
    <w:next w:val="Normal"/>
    <w:qFormat/>
    <w:pPr>
      <w:ind w:hanging="288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2001-10-12T13:42:00Z</dcterms:created>
  <dc:creator>mheard</dc:creator>
  <dc:description/>
  <dc:language>en-CA</dc:language>
  <cp:lastModifiedBy>mheard</cp:lastModifiedBy>
  <cp:lastPrinted>2001-10-22T09:11:00Z</cp:lastPrinted>
  <dcterms:modified xsi:type="dcterms:W3CDTF">2001-10-22T11:41:00Z</dcterms:modified>
  <cp:revision>7</cp:revision>
  <dc:subject>letter form</dc:subject>
  <dc:title>letter form</dc:title>
</cp:coreProperties>
</file>