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ind w:hanging="0" w:end="0"/>
        <w:jc w:val="center"/>
        <w:rPr>
          <w:b/>
          <w:bCs/>
        </w:rPr>
      </w:pPr>
      <w:r>
        <w:rPr>
          <w:b/>
          <w:bCs/>
        </w:rPr>
        <w:t>SPEAKER SCHEDULE</w:t>
      </w:r>
    </w:p>
    <w:p>
      <w:pPr>
        <w:pStyle w:val="BodyTextIndent2"/>
        <w:ind w:hanging="0" w:end="0"/>
        <w:rPr>
          <w:b/>
          <w:bCs/>
        </w:rPr>
      </w:pPr>
      <w:r>
        <w:rPr>
          <w:b/>
          <w:bCs/>
        </w:rPr>
      </w:r>
    </w:p>
    <w:p>
      <w:pPr>
        <w:pStyle w:val="BodyTextIndent2"/>
        <w:ind w:hanging="0" w:end="0"/>
        <w:rPr>
          <w:b/>
          <w:bCs/>
        </w:rPr>
      </w:pPr>
      <w:r>
        <w:rPr>
          <w:b/>
          <w:bCs/>
        </w:rPr>
      </w:r>
    </w:p>
    <w:tbl>
      <w:tblPr>
        <w:tblW w:w="1483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2"/>
        <w:gridCol w:w="2202"/>
        <w:gridCol w:w="1656"/>
        <w:gridCol w:w="2207"/>
        <w:gridCol w:w="1247"/>
        <w:gridCol w:w="3198"/>
        <w:gridCol w:w="2480"/>
      </w:tblGrid>
      <w:tr>
        <w:trPr>
          <w:tblHeader w:val="true"/>
        </w:trPr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DAY / TIME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HOST /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HOTEL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PHONE/FAX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8:00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Greeting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Jim Derrick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 to 8:30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Investor Relations and SEC Compliance Issues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Paula Rieker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Michelle Cash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713-853-6401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(Introduced by Jim Derrick)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Director, Investor Relations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EB4927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 Laura Valencia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Phone:713-853-7209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713-646-3002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8:30 to 9:15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Discussion of California Energy Issues, including litigation, regulation, ethics, pipelines, retail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Robin Gibbs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Koogler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713-853-4860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 &amp; Bruns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713-650-8805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713-750-0903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9:15 to 9:30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Unveiling Legal Department Portal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Walls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Paula Obrecht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713-646-6305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and Deputy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Paulette Obrecht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713-646-6017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9:30 to 9:45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Foreign Corruption Practices Act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Williams or Michelle Blaine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 be decided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VP/Assistant General Counsel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713-646-6412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9:45 to 10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 to 10:15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Law Manager System and Outside Counsel Conflicts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Britt Davis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Michelle Cash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EB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 Becky Zikes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713-853-6307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10:15 to 11:00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Bankruptcy – What to do in the Event of a Counterparty’s Bankruptcy.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Melanie Gray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Marianne Castano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713-853-9502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Weil Gotshal &amp; Manges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700 Louisiana, Ste. 1600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77002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713-546-5000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713-224-9511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 to 11:30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Washington – Political Climate and Deregulation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Linda Robertson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Rose Engeldorf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713-345-7726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VP Federal Government Affairs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 Laura Sullivan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202-466-9142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202-828-3372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Adjourn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Friday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 to 8:45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Depositions in High Profile Cases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Rick L. Rambo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Williams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713-646-6412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Fulbright &amp; Jaworski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1301 McKinney, Suite 5100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77010-3095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Secretary: Gretchen Seidl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713-651-5151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713-651-5246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8:45 to 9:15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Environmental Concerns in Business &amp; Real Estate Transactions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Larry Nettles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Carlos Solé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713-345-8191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Vinson &amp; Elkins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2300 First City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1001 Fannin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77002-6760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Secretary: Debbie Graham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713-658-2222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713-615-5538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9:15 to 10:00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2000 Elections and Beyond – The Legal Issues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Daryl Bristow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Brenda Funk/ Jim Derrick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713-853-6950 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Baker &amp; Botts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910 Louisiana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Suite 3000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Secretary: Nola Beller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713-229-1522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 to 10:15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10:15 to 10:40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New Power Company and the Deregulation of Electricity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 Manly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Kriste Sullivan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713-853-7557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New Power Company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Manhattanville Road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York, New York  10577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 Susan Bishop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914-697-2412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10:40 to 11:00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Entertainment on Demand – the Legal Framework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Bay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Michelle Hicks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713-853-3248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 – Originations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EB2148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 Rebecca Watkins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713-853-6988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 to 11:30 a.m.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Legal Issues Relating to Crisis Management – Our Relationship with the Press, Regulations Compliance Officers, etc.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Dennis Vegas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Susan Scott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713-853-0596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 Public Relations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EB4708D 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Assistant: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713-345-6442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</w:tr>
      <w:tr>
        <w:trPr>
          <w:trHeight w:val="683" w:hRule="atLeast"/>
        </w:trPr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11:30 to 12:30 p.m.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Ethics “Survivor”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Ileana Blanco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Linda Guinn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713-853-6104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Bracewell &amp; Patterson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711 Louisiana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Suite 2900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Secretary: Deborah Prettyman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Phone: 713-221-1126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713-221-1212</w:t>
            </w:r>
          </w:p>
        </w:tc>
      </w:tr>
      <w:tr>
        <w:trPr/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Adjourn</w:t>
            </w:r>
          </w:p>
        </w:tc>
        <w:tc>
          <w:tcPr>
            <w:tcW w:w="2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orient="landscape" w:w="15840" w:h="12240"/>
      <w:pgMar w:left="576" w:right="576" w:gutter="0" w:header="0" w:top="1152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0" w:hanging="0"/>
      </w:pPr>
      <w:rPr/>
    </w:lvl>
    <w:lvl w:ilvl="1">
      <w:start w:val="1"/>
      <w:pStyle w:val="Heading2"/>
      <w:numFmt w:val="upperRoman"/>
      <w:lvlText w:val="%2."/>
      <w:lvlJc w:val="start"/>
      <w:pPr>
        <w:tabs>
          <w:tab w:val="num" w:pos="1440"/>
        </w:tabs>
        <w:ind w:start="720" w:hanging="0"/>
      </w:pPr>
      <w:rPr/>
    </w:lvl>
    <w:lvl w:ilvl="2">
      <w:start w:val="1"/>
      <w:pStyle w:val="Heading3"/>
      <w:numFmt w:val="upperLetter"/>
      <w:lvlText w:val="%3."/>
      <w:lvlJc w:val="start"/>
      <w:pPr>
        <w:tabs>
          <w:tab w:val="num" w:pos="1800"/>
        </w:tabs>
        <w:ind w:start="1440" w:hanging="0"/>
      </w:pPr>
      <w:rPr/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ind w:firstLine="144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2001-03-15T17:52:00Z</dcterms:created>
  <dc:creator>dgoode</dc:creator>
  <dc:description/>
  <dc:language>en-CA</dc:language>
  <cp:lastModifiedBy>dgoode</cp:lastModifiedBy>
  <cp:lastPrinted>2001-03-01T10:41:00Z</cp:lastPrinted>
  <dcterms:modified xsi:type="dcterms:W3CDTF">2001-03-15T18:27:00Z</dcterms:modified>
  <cp:revision>4</cp:revision>
  <dc:subject/>
  <dc:title>SPEAKER ASSIGNMENT CHART</dc:title>
</cp:coreProperties>
</file>