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08/27/2001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CITY OF GLENDALE, a municipal corporation organized under the law of the State of California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t>(c)</w:t>
        <w:tab/>
        <w:t>Section 5(a)(vii) is hereby amended by deleting Subparagraph (6) thereof in its entirety and replacing it with the following:</w:t>
      </w:r>
    </w:p>
    <w:p>
      <w:pPr>
        <w:pStyle w:val="Normal"/>
        <w:spacing w:lineRule="exact" w:line="240" w:before="240" w:after="0"/>
        <w:ind w:start="720" w:end="0"/>
        <w:jc w:val="both"/>
        <w:rPr>
          <w:sz w:val="22"/>
          <w:szCs w:val="22"/>
        </w:rPr>
      </w:pPr>
      <w:r>
        <w:rPr>
          <w:sz w:val="22"/>
          <w:szCs w:val="22"/>
        </w:rPr>
        <w:t>“</w:t>
      </w:r>
      <w:r>
        <w:rPr>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sz w:val="22"/>
          <w:szCs w:val="22"/>
        </w:rPr>
      </w:pPr>
      <w:r>
        <w:rPr>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sz w:val="22"/>
          <w:szCs w:val="22"/>
        </w:rPr>
        <w:t>“</w:t>
      </w:r>
      <w:r>
        <w:rPr>
          <w:sz w:val="22"/>
          <w:szCs w:val="22"/>
        </w:rPr>
        <w:t xml:space="preserve">(viii)  </w:t>
      </w:r>
      <w:r>
        <w:rPr>
          <w:b/>
          <w:bCs/>
          <w:sz w:val="22"/>
          <w:szCs w:val="22"/>
        </w:rPr>
        <w:t>Merger Without Assumption.</w:t>
      </w:r>
      <w:r>
        <w:rPr>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(e)</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(f)</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(g)</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(h)</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(i)</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municipal corporation organized under the laws of the State of California.</w:t>
      </w:r>
    </w:p>
    <w:p>
      <w:pPr>
        <w:pStyle w:val="Heading4"/>
        <w:ind w:hanging="0" w:start="0"/>
        <w:rPr/>
      </w:pPr>
      <w:r>
        <w:rPr/>
        <w:t>Part 3.</w:t>
        <w:tab/>
        <w:t>Agreement to Deliver Documents</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(a)</w:t>
        <w:tab/>
        <w:t>Tax forms, documents, or certificates to be delivered are:  United States Internal Revenue Service Form W</w:t>
        <w:noBreakHyphen/>
        <w:t>9.</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270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270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City of Glendale</w:t>
            </w:r>
          </w:p>
          <w:p>
            <w:pPr>
              <w:pStyle w:val="Normal"/>
              <w:keepNext w:val="true"/>
              <w:tabs>
                <w:tab w:val="clear" w:pos="720"/>
                <w:tab w:val="left" w:pos="3762" w:leader="none"/>
                <w:tab w:val="left" w:pos="4230" w:leader="none"/>
                <w:tab w:val="left" w:pos="9360" w:leader="none"/>
              </w:tabs>
              <w:spacing w:lineRule="exact" w:line="240"/>
              <w:jc w:val="both"/>
              <w:rPr/>
            </w:pPr>
            <w:r>
              <w:rPr>
                <w:sz w:val="22"/>
                <w:szCs w:val="22"/>
              </w:rPr>
              <w:t>141 N. Glendale Ave., 4</w:t>
            </w:r>
            <w:r>
              <w:rPr>
                <w:sz w:val="22"/>
                <w:szCs w:val="22"/>
                <w:vertAlign w:val="superscript"/>
              </w:rPr>
              <w:t>th</w:t>
            </w:r>
            <w:r>
              <w:rPr>
                <w:sz w:val="22"/>
                <w:szCs w:val="22"/>
              </w:rPr>
              <w:t xml:space="preserve"> Level</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Glendale, California  91206-4496</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Director Public Service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(818) 552-2852</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(818) 548-2107</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 xml:space="preserve">(b)  </w:t>
      </w:r>
      <w:r>
        <w:rPr>
          <w:b/>
          <w:bCs/>
          <w:sz w:val="22"/>
          <w:szCs w:val="22"/>
        </w:rPr>
        <w:t>Obligations:  General Conditions.</w:t>
      </w:r>
      <w:r>
        <w:rPr>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sz w:val="22"/>
          <w:szCs w:val="22"/>
        </w:rPr>
        <w:t xml:space="preserve">(c)  </w:t>
      </w:r>
      <w:r>
        <w:rPr>
          <w:b/>
          <w:bCs/>
          <w:sz w:val="22"/>
          <w:szCs w:val="22"/>
        </w:rPr>
        <w:t xml:space="preserve">Powers.  </w:t>
      </w:r>
      <w:r>
        <w:rPr>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sz w:val="22"/>
          <w:szCs w:val="22"/>
        </w:rPr>
        <w:t>(d)</w:t>
        <w:tab/>
      </w:r>
      <w:r>
        <w:rPr>
          <w:b/>
          <w:bCs/>
          <w:sz w:val="22"/>
          <w:szCs w:val="22"/>
        </w:rPr>
        <w:t>Absence of Certain Events.</w:t>
      </w:r>
      <w:r>
        <w:rPr>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(e)</w:t>
        <w:tab/>
      </w:r>
      <w:r>
        <w:rPr>
          <w:b/>
          <w:bCs/>
          <w:sz w:val="22"/>
          <w:szCs w:val="22"/>
        </w:rPr>
        <w:t>Representations.</w:t>
      </w:r>
      <w:r>
        <w:rPr>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sz w:val="22"/>
          <w:szCs w:val="22"/>
        </w:rPr>
      </w:pPr>
      <w:r>
        <w:rPr>
          <w:sz w:val="22"/>
          <w:szCs w:val="22"/>
        </w:rPr>
      </w:r>
    </w:p>
    <w:p>
      <w:pPr>
        <w:pStyle w:val="Normal"/>
        <w:ind w:firstLine="720" w:start="720" w:end="0"/>
        <w:jc w:val="both"/>
        <w:rPr/>
      </w:pPr>
      <w:r>
        <w:rPr>
          <w:sz w:val="22"/>
          <w:szCs w:val="22"/>
        </w:rPr>
        <w:t>(k)</w:t>
        <w:tab/>
      </w:r>
      <w:r>
        <w:rPr>
          <w:b/>
          <w:bCs/>
          <w:sz w:val="22"/>
          <w:szCs w:val="22"/>
        </w:rPr>
        <w:t>Termination Payments.</w:t>
      </w:r>
      <w:r>
        <w:rPr>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spacing w:before="240" w:after="0"/>
        <w:ind w:firstLine="720" w:end="0"/>
        <w:jc w:val="both"/>
        <w:rPr/>
      </w:pPr>
      <w:r>
        <w:rPr>
          <w:sz w:val="22"/>
          <w:szCs w:val="22"/>
        </w:rPr>
        <w:t>(f)</w:t>
        <w:tab/>
      </w:r>
      <w:r>
        <w:rPr>
          <w:b/>
          <w:bCs/>
          <w:sz w:val="22"/>
          <w:szCs w:val="22"/>
        </w:rPr>
        <w:t xml:space="preserve">Additional Representations of Party B. </w:t>
      </w:r>
      <w:r>
        <w:rPr>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sz w:val="22"/>
          <w:szCs w:val="22"/>
        </w:rPr>
        <w:t>(i)</w:t>
        <w:tab/>
      </w:r>
      <w:r>
        <w:rPr>
          <w:b/>
          <w:bCs/>
          <w:sz w:val="22"/>
          <w:szCs w:val="22"/>
        </w:rPr>
        <w:t>Non-Speculation.</w:t>
      </w:r>
      <w:r>
        <w:rPr>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w:t>
        <w:tab/>
      </w:r>
      <w:r>
        <w:rPr>
          <w:b/>
          <w:bCs/>
          <w:sz w:val="22"/>
          <w:szCs w:val="22"/>
        </w:rPr>
        <w:t>No Immunity.</w:t>
      </w:r>
      <w:r>
        <w:rPr>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(iii)</w:t>
        <w:tab/>
      </w:r>
      <w:r>
        <w:rPr>
          <w:b/>
          <w:bCs/>
          <w:sz w:val="22"/>
          <w:szCs w:val="22"/>
        </w:rPr>
        <w:t>Legal Investment.</w:t>
      </w:r>
      <w:r>
        <w:rPr>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(iv)</w:t>
        <w:tab/>
      </w:r>
      <w:r>
        <w:rPr>
          <w:b/>
          <w:bCs/>
          <w:sz w:val="22"/>
          <w:szCs w:val="22"/>
        </w:rPr>
        <w:t>Assets of Party B.</w:t>
      </w:r>
      <w:r>
        <w:rPr>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w:t>
        <w:tab/>
      </w:r>
      <w:r>
        <w:rPr>
          <w:b/>
          <w:bCs/>
          <w:sz w:val="22"/>
          <w:szCs w:val="22"/>
        </w:rPr>
        <w:t>Organization.</w:t>
      </w:r>
      <w:r>
        <w:rPr>
          <w:sz w:val="22"/>
          <w:szCs w:val="22"/>
        </w:rPr>
        <w:t xml:space="preserve">  Party B is a state or political subdivision thereof, or an instrumentality, agency or department of either of the foregoing.</w:t>
      </w:r>
    </w:p>
    <w:p>
      <w:pPr>
        <w:pStyle w:val="Normal"/>
        <w:ind w:hanging="720" w:start="1440" w:end="0"/>
        <w:jc w:val="both"/>
        <w:rPr>
          <w:sz w:val="22"/>
          <w:szCs w:val="22"/>
        </w:rPr>
      </w:pPr>
      <w:r>
        <w:rPr>
          <w:sz w:val="22"/>
          <w:szCs w:val="22"/>
        </w:rPr>
      </w:r>
    </w:p>
    <w:p>
      <w:pPr>
        <w:pStyle w:val="Normal"/>
        <w:ind w:hanging="720" w:start="1440" w:end="0"/>
        <w:jc w:val="both"/>
        <w:rPr/>
      </w:pPr>
      <w:r>
        <w:rPr>
          <w:sz w:val="22"/>
          <w:szCs w:val="22"/>
        </w:rPr>
        <w:t>(vi)</w:t>
        <w:tab/>
      </w:r>
      <w:r>
        <w:rPr>
          <w:b/>
          <w:bCs/>
          <w:sz w:val="22"/>
          <w:szCs w:val="22"/>
        </w:rPr>
        <w:t>Investment Policies.</w:t>
      </w:r>
      <w:r>
        <w:rPr>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sz w:val="22"/>
          <w:szCs w:val="22"/>
        </w:rPr>
      </w:pPr>
      <w:r>
        <w:rPr>
          <w:sz w:val="22"/>
          <w:szCs w:val="22"/>
        </w:rPr>
      </w:r>
    </w:p>
    <w:p>
      <w:pPr>
        <w:pStyle w:val="Normal"/>
        <w:ind w:start="720" w:end="0"/>
        <w:jc w:val="both"/>
        <w:rPr/>
      </w:pPr>
      <w:r>
        <w:rPr>
          <w:sz w:val="22"/>
          <w:szCs w:val="22"/>
        </w:rPr>
        <w:t>(g)</w:t>
        <w:tab/>
      </w:r>
      <w:r>
        <w:rPr>
          <w:b/>
          <w:bCs/>
          <w:sz w:val="22"/>
          <w:szCs w:val="22"/>
        </w:rPr>
        <w:t>Additional Agreements.</w:t>
      </w:r>
      <w:r>
        <w:rPr>
          <w:sz w:val="22"/>
          <w:szCs w:val="22"/>
        </w:rPr>
        <w:t xml:space="preserve">  (i) The introductory clause of Section 4 of this Agreement is</w:t>
      </w:r>
    </w:p>
    <w:p>
      <w:pPr>
        <w:pStyle w:val="Normal"/>
        <w:jc w:val="both"/>
        <w:rPr>
          <w:sz w:val="22"/>
          <w:szCs w:val="22"/>
        </w:rPr>
      </w:pPr>
      <w:r>
        <w:rPr>
          <w:sz w:val="22"/>
          <w:szCs w:val="22"/>
        </w:rPr>
        <w:t>hereby amended to read in its entirety as follows:</w:t>
      </w:r>
    </w:p>
    <w:p>
      <w:pPr>
        <w:pStyle w:val="Normal"/>
        <w:jc w:val="both"/>
        <w:rPr>
          <w:sz w:val="22"/>
          <w:szCs w:val="22"/>
        </w:rPr>
      </w:pPr>
      <w:r>
        <w:rPr>
          <w:sz w:val="22"/>
          <w:szCs w:val="22"/>
        </w:rPr>
      </w:r>
    </w:p>
    <w:p>
      <w:pPr>
        <w:pStyle w:val="Normal"/>
        <w:ind w:start="720" w:end="0"/>
        <w:jc w:val="both"/>
        <w:rPr/>
      </w:pPr>
      <w:r>
        <w:rPr>
          <w:sz w:val="22"/>
          <w:szCs w:val="22"/>
        </w:rPr>
        <w:t>“</w:t>
      </w:r>
      <w:r>
        <w:rPr>
          <w:sz w:val="22"/>
          <w:szCs w:val="22"/>
        </w:rPr>
        <w:t>4.</w:t>
        <w:tab/>
      </w:r>
      <w:r>
        <w:rPr>
          <w:b/>
          <w:bCs/>
          <w:sz w:val="22"/>
          <w:szCs w:val="22"/>
        </w:rPr>
        <w:t>Agreements.</w:t>
      </w:r>
      <w:r>
        <w:rPr>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Section 4 of this Agreement is hereby amended by adding the following Section (f) thereto:</w:t>
      </w:r>
    </w:p>
    <w:p>
      <w:pPr>
        <w:pStyle w:val="Normal"/>
        <w:ind w:start="720" w:end="0"/>
        <w:jc w:val="both"/>
        <w:rPr>
          <w:sz w:val="22"/>
          <w:szCs w:val="22"/>
        </w:rPr>
      </w:pPr>
      <w:r>
        <w:rPr>
          <w:sz w:val="22"/>
          <w:szCs w:val="22"/>
        </w:rPr>
      </w:r>
    </w:p>
    <w:p>
      <w:pPr>
        <w:pStyle w:val="Normal"/>
        <w:ind w:start="1440" w:end="0"/>
        <w:jc w:val="both"/>
        <w:rPr>
          <w:sz w:val="22"/>
          <w:szCs w:val="22"/>
        </w:rPr>
      </w:pPr>
      <w:r>
        <w:rPr>
          <w:sz w:val="22"/>
          <w:szCs w:val="22"/>
        </w:rPr>
        <w:t>“</w:t>
      </w:r>
      <w:r>
        <w:rPr>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sz w:val="22"/>
          <w:szCs w:val="22"/>
        </w:rPr>
      </w:pPr>
      <w:r>
        <w:rPr>
          <w:sz w:val="22"/>
          <w:szCs w:val="22"/>
        </w:rPr>
      </w:r>
    </w:p>
    <w:p>
      <w:pPr>
        <w:pStyle w:val="Normal"/>
        <w:ind w:start="720" w:end="0"/>
        <w:jc w:val="both"/>
        <w:rPr/>
      </w:pPr>
      <w:r>
        <w:rPr>
          <w:sz w:val="22"/>
          <w:szCs w:val="22"/>
        </w:rPr>
        <w:t>(h)</w:t>
        <w:tab/>
      </w:r>
      <w:r>
        <w:rPr>
          <w:b/>
          <w:bCs/>
          <w:sz w:val="22"/>
          <w:szCs w:val="22"/>
        </w:rPr>
        <w:t>Source of Payments.</w:t>
      </w:r>
      <w:r>
        <w:rPr>
          <w:sz w:val="22"/>
          <w:szCs w:val="22"/>
        </w:rPr>
        <w:t xml:space="preserve">  Party B agrees that its obligations hereunder are, and until the </w:t>
      </w:r>
    </w:p>
    <w:p>
      <w:pPr>
        <w:pStyle w:val="Justified"/>
        <w:widowControl/>
        <w:spacing w:before="0" w:after="0"/>
        <w:rPr>
          <w:rFonts w:ascii="Times New Roman" w:hAnsi="Times New Roman" w:cs="Times New Roman"/>
        </w:rPr>
      </w:pPr>
      <w:r>
        <w:rPr>
          <w:rFonts w:cs="Times New Roman" w:ascii="Times New Roman" w:hAnsi="Times New Roman"/>
        </w:rPr>
        <w:t>termination of this Agreement pursuant to the terms hereof shall remain, payable solely out of or from Electric 552 Fund.</w:t>
      </w:r>
    </w:p>
    <w:p>
      <w:pPr>
        <w:pStyle w:val="Normal"/>
        <w:jc w:val="both"/>
        <w:rPr>
          <w:rFonts w:ascii="Times New Roman" w:hAnsi="Times New Roman" w:cs="Times New Roman"/>
          <w:sz w:val="22"/>
          <w:szCs w:val="22"/>
        </w:rPr>
      </w:pPr>
      <w:r>
        <w:rPr>
          <w:rFonts w:cs="Times New Roman"/>
          <w:sz w:val="22"/>
          <w:szCs w:val="22"/>
        </w:rPr>
      </w:r>
    </w:p>
    <w:p>
      <w:pPr>
        <w:pStyle w:val="Normal"/>
        <w:ind w:start="720" w:end="0"/>
        <w:jc w:val="both"/>
        <w:rPr/>
      </w:pPr>
      <w:r>
        <w:rPr>
          <w:sz w:val="22"/>
          <w:szCs w:val="22"/>
        </w:rPr>
        <w:t>(i)</w:t>
        <w:tab/>
      </w:r>
      <w:r>
        <w:rPr>
          <w:b/>
          <w:bCs/>
          <w:sz w:val="22"/>
          <w:szCs w:val="22"/>
        </w:rPr>
        <w:t>Nature of Obligations.</w:t>
      </w:r>
      <w:r>
        <w:rPr>
          <w:sz w:val="22"/>
          <w:szCs w:val="22"/>
        </w:rPr>
        <w:t xml:space="preserve">  The obligations of Party B to make payments to Party A under </w:t>
      </w:r>
    </w:p>
    <w:p>
      <w:pPr>
        <w:pStyle w:val="Normal"/>
        <w:jc w:val="both"/>
        <w:rPr>
          <w:sz w:val="22"/>
          <w:szCs w:val="22"/>
        </w:rPr>
      </w:pPr>
      <w:r>
        <w:rPr>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sz w:val="22"/>
          <w:szCs w:val="22"/>
        </w:rPr>
        <w:t>(j)</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(k)</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(l)</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(m)</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(n)</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(p)</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(q)</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(r)</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(s)</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(t)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pPr>
      <w:r>
        <w:rPr>
          <w:sz w:val="22"/>
          <w:szCs w:val="22"/>
        </w:rPr>
        <w:t>(u)</w:t>
        <w:tab/>
      </w:r>
      <w:r>
        <w:rPr>
          <w:b/>
          <w:bCs/>
          <w:sz w:val="22"/>
          <w:szCs w:val="22"/>
        </w:rPr>
        <w:t>Additional Definitions</w:t>
      </w:r>
      <w:r>
        <w:rPr>
          <w:sz w:val="22"/>
          <w:szCs w:val="22"/>
        </w:rPr>
        <w:t>.  Section 14 of the Agreement is hereby amended by adding the following definitions:</w:t>
      </w:r>
    </w:p>
    <w:p>
      <w:pPr>
        <w:pStyle w:val="Normal"/>
        <w:spacing w:lineRule="exact" w:line="240"/>
        <w:ind w:hanging="720" w:start="1440" w:end="0"/>
        <w:jc w:val="both"/>
        <w:rPr>
          <w:sz w:val="22"/>
          <w:szCs w:val="22"/>
        </w:rPr>
      </w:pPr>
      <w:r>
        <w:rPr>
          <w:sz w:val="22"/>
          <w:szCs w:val="22"/>
        </w:rPr>
      </w:r>
    </w:p>
    <w:p>
      <w:pPr>
        <w:pStyle w:val="Normal"/>
        <w:numPr>
          <w:ilvl w:val="0"/>
          <w:numId w:val="2"/>
        </w:numPr>
        <w:spacing w:lineRule="exact" w:line="240"/>
        <w:jc w:val="both"/>
        <w:rPr>
          <w:b/>
          <w:bCs/>
          <w:sz w:val="22"/>
          <w:szCs w:val="22"/>
        </w:rPr>
      </w:pPr>
      <w:r>
        <w:rPr>
          <w:b/>
          <w:bCs/>
          <w:sz w:val="22"/>
          <w:szCs w:val="22"/>
        </w:rPr>
        <w:t>“</w:t>
      </w:r>
      <w:r>
        <w:rPr>
          <w:b/>
          <w:bCs/>
          <w:sz w:val="22"/>
          <w:szCs w:val="22"/>
        </w:rPr>
        <w:t>Authorizing Law”</w:t>
      </w:r>
      <w:r>
        <w:rPr>
          <w:sz w:val="22"/>
          <w:szCs w:val="22"/>
        </w:rPr>
        <w:t xml:space="preserve"> means the Charter of the City of Glendale, Glendale Municipal Code, 1995, Council Motion dated March 6, 2001, Resolution 01-86, dated May 15, 2001.</w:t>
      </w:r>
    </w:p>
    <w:p>
      <w:pPr>
        <w:pStyle w:val="Normal"/>
        <w:spacing w:lineRule="exact" w:line="240"/>
        <w:ind w:start="720" w:end="0"/>
        <w:jc w:val="both"/>
        <w:rPr>
          <w:b/>
          <w:bCs/>
          <w:sz w:val="22"/>
          <w:szCs w:val="22"/>
        </w:rPr>
      </w:pPr>
      <w:r>
        <w:rPr>
          <w:b/>
          <w:bCs/>
          <w:sz w:val="22"/>
          <w:szCs w:val="22"/>
        </w:rPr>
      </w:r>
    </w:p>
    <w:p>
      <w:pPr>
        <w:pStyle w:val="Normal"/>
        <w:numPr>
          <w:ilvl w:val="0"/>
          <w:numId w:val="2"/>
        </w:numPr>
        <w:spacing w:lineRule="exact" w:line="240"/>
        <w:jc w:val="both"/>
        <w:rPr>
          <w:b/>
          <w:bCs/>
          <w:sz w:val="22"/>
          <w:szCs w:val="22"/>
        </w:rPr>
      </w:pPr>
      <w:r>
        <w:rPr>
          <w:b/>
          <w:bCs/>
          <w:sz w:val="22"/>
          <w:szCs w:val="22"/>
        </w:rPr>
        <w:t>“</w:t>
      </w:r>
      <w:r>
        <w:rPr>
          <w:b/>
          <w:bCs/>
          <w:sz w:val="22"/>
          <w:szCs w:val="22"/>
        </w:rPr>
        <w:t xml:space="preserve">Incipient Illegality” </w:t>
      </w:r>
      <w:r>
        <w:rPr>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pPr>
            <w:r>
              <w:rPr/>
              <w:t>CITY OF GLENDALE</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sz w:val="22"/>
          <w:szCs w:val="22"/>
        </w:rPr>
      </w:pPr>
      <w:r>
        <w:rPr>
          <w:sz w:val="22"/>
          <w:szCs w:val="22"/>
        </w:rPr>
        <w:t>ATTACHMENT 1</w:t>
      </w:r>
    </w:p>
    <w:p>
      <w:pPr>
        <w:pStyle w:val="Normal"/>
        <w:jc w:val="center"/>
        <w:rPr>
          <w:sz w:val="22"/>
          <w:szCs w:val="22"/>
        </w:rPr>
      </w:pPr>
      <w:r>
        <w:rPr>
          <w:sz w:val="22"/>
          <w:szCs w:val="22"/>
        </w:rPr>
      </w:r>
    </w:p>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City of Glendale, California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 of California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r>
      <w:r>
        <w:rPr>
          <w:sz w:val="22"/>
        </w:rPr>
        <w:t>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spacing w:before="0" w:after="240"/>
        <w:ind w:start="4320" w:end="0"/>
        <w:rPr>
          <w:sz w:val="22"/>
          <w:szCs w:val="22"/>
        </w:rPr>
      </w:pPr>
      <w:r>
        <w:rPr>
          <w:sz w:val="22"/>
          <w:szCs w:val="22"/>
        </w:rPr>
        <w:t>Very truly yours,</w:t>
      </w:r>
    </w:p>
    <w:p>
      <w:pPr>
        <w:pStyle w:val="Normal"/>
        <w:jc w:val="end"/>
        <w:rPr>
          <w:b/>
          <w:bCs/>
          <w:sz w:val="22"/>
          <w:szCs w:val="22"/>
          <w:u w:val="single"/>
        </w:rPr>
      </w:pPr>
      <w:r>
        <w:rPr>
          <w:b/>
          <w:bCs/>
          <w:sz w:val="22"/>
          <w:szCs w:val="22"/>
          <w:u w:val="single"/>
        </w:rPr>
        <w:t>DRAFT OF 02/09/2001</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CITY OF GLENDALE, a municipal corporation organized under the law of the State of California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r>
        <w:br w:type="page"/>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in the reasonable opinion of Party A, a material adverse change has occurred in the business, financial condition or operations of Party B.</w:t>
      </w:r>
    </w:p>
    <w:p>
      <w:pPr>
        <w:pStyle w:val="Normal"/>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080" w:right="1080" w:gutter="0" w:header="720" w:top="1080" w:footer="835" w:bottom="108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CITY OF GLENDALE, a municipal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City of Glendale</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141 N. Glendale Ave., 4</w:t>
            </w:r>
            <w:r>
              <w:rPr>
                <w:color w:val="000000"/>
                <w:sz w:val="22"/>
                <w:szCs w:val="22"/>
                <w:vertAlign w:val="superscript"/>
              </w:rPr>
              <w:t>th</w:t>
            </w:r>
            <w:r>
              <w:rPr>
                <w:color w:val="000000"/>
                <w:sz w:val="22"/>
                <w:szCs w:val="22"/>
              </w:rPr>
              <w:t xml:space="preserve"> Level</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Glendale, California  91206-4496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Director Public Service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(818) 552-2852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spacing w:before="0" w:after="240"/>
        <w:ind w:start="4320" w:end="0"/>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/mnt/main-storage/datasets/enron-docs/doc/066actr_glendale_1.doc</w:t>
    </w:r>
    <w:r>
      <w:rPr>
        <w:rStyle w:val="PageNumber"/>
        <w:sz w:val="12"/>
        <w:szCs w:val="16"/>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14</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/mnt/main-storage/datasets/enron-docs/doc/066actr_glendale_1.doc</w:t>
    </w:r>
    <w:r>
      <w:rPr>
        <w:sz w:val="12"/>
        <w:szCs w:val="16"/>
      </w:rPr>
      <w:fldChar w:fldCharType="end"/>
    </w:r>
  </w:p>
  <w:p>
    <w:pPr>
      <w:pStyle w:val="Normal"/>
      <w:rPr>
        <w:sz w:val="12"/>
        <w:szCs w:val="16"/>
      </w:rPr>
    </w:pPr>
    <w:r>
      <w:rPr>
        <w:sz w:val="12"/>
        <w:szCs w:val="16"/>
      </w:rPr>
    </w:r>
  </w:p>
  <w:p>
    <w:pPr>
      <w:pStyle w:val="Foote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/mnt/main-storage/datasets/enron-docs/doc/066actr_glendale_1.doc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/mnt/main-storage/datasets/enron-docs/doc/066actr_glendale_1.doc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/mnt/main-storage/datasets/enron-docs/doc/066actr_glendale_1.doc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/mnt/main-storage/datasets/enron-docs/doc/066actr_glendale_1.doc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2001-08-27T18:42:00Z</dcterms:created>
  <dc:creator>mheard</dc:creator>
  <dc:description/>
  <dc:language>en-CA</dc:language>
  <cp:lastModifiedBy>kward</cp:lastModifiedBy>
  <cp:lastPrinted>2001-02-12T17:01:00Z</cp:lastPrinted>
  <dcterms:modified xsi:type="dcterms:W3CDTF">2001-08-27T18:42:00Z</dcterms:modified>
  <cp:revision>2</cp:revision>
  <dc:subject/>
  <dc:title>ISDA Multicurrency Agreement</dc:title>
</cp:coreProperties>
</file>