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02/08/2001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PORT OF OAKLAND, a Department of the City of the City of Oakland, a _____________ organized under the law of the State of California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$25,000,000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BodyTextIndent"/>
        <w:ind w:firstLine="720" w:start="0" w:end="0"/>
        <w:rPr/>
      </w:pPr>
      <w:r>
        <w:rPr/>
        <w:t>(c)</w:t>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pPr>
      <w:r>
        <w:rPr>
          <w:sz w:val="22"/>
          <w:szCs w:val="22"/>
        </w:rPr>
        <w:t xml:space="preserve">Party B is a </w:t>
      </w:r>
      <w:r>
        <w:rPr>
          <w:sz w:val="22"/>
          <w:szCs w:val="22"/>
          <w:u w:val="single"/>
        </w:rPr>
        <w:tab/>
        <w:tab/>
        <w:tab/>
      </w:r>
      <w:r>
        <w:rPr>
          <w:sz w:val="22"/>
          <w:szCs w:val="22"/>
        </w:rPr>
        <w:t xml:space="preserve"> organized under the laws of the State of California.</w:t>
      </w:r>
    </w:p>
    <w:p>
      <w:pPr>
        <w:pStyle w:val="Heading4"/>
        <w:ind w:hanging="0" w:start="0"/>
        <w:rPr/>
      </w:pPr>
      <w:r>
        <w:rPr/>
        <w:t>Part 3.</w:t>
        <w:tab/>
        <w:t>Agreement to Deliver Documents</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(a)</w:t>
        <w:tab/>
        <w:t>Tax forms, documents, or certificates to be delivered are:  United States Internal Revenue Service Form W</w:t>
        <w:noBreakHyphen/>
        <w:t>9.</w:t>
      </w:r>
    </w:p>
    <w:p>
      <w:pPr>
        <w:pStyle w:val="Normal"/>
        <w:spacing w:lineRule="exact" w:line="240" w:before="240" w:after="0"/>
        <w:ind w:firstLine="720" w:end="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 xml:space="preserve">Promptly following demand by Party B, but in no event later than 120 days after the end of each fiscal year of Party A’s Credit Support Provider if such Financial Statement is not available on “EDGAR” or Party A’s Credit Support Provider’s home page on the World Wide Web at </w:t>
            </w:r>
            <w:hyperlink r:id="rId2">
              <w:r>
                <w:rPr>
                  <w:rStyle w:val="Hyperlink"/>
                  <w:rFonts w:cs="Times New Roman" w:ascii="Times New Roman" w:hAnsi="Times New Roman"/>
                  <w:color w:val="000000"/>
                  <w:u w:val="none"/>
                </w:rPr>
                <w:t>www.enron.com</w:t>
              </w:r>
            </w:hyperlink>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Port of Oakland, a Department of the City of Oakland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color w:val="FF0000"/>
          <w:sz w:val="22"/>
          <w:szCs w:val="22"/>
        </w:rPr>
      </w:pPr>
      <w:r>
        <w:rPr>
          <w:color w:val="FF0000"/>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color w:val="FF0000"/>
          <w:sz w:val="22"/>
          <w:szCs w:val="22"/>
        </w:rPr>
      </w:pPr>
      <w:r>
        <w:rPr>
          <w:b/>
          <w:bCs/>
          <w:color w:val="FF0000"/>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800080"/>
          <w:sz w:val="22"/>
          <w:szCs w:val="22"/>
        </w:rPr>
      </w:pPr>
      <w:r>
        <w:rPr>
          <w:color w:val="800080"/>
          <w:sz w:val="22"/>
          <w:szCs w:val="22"/>
        </w:rPr>
      </w:r>
    </w:p>
    <w:p>
      <w:pPr>
        <w:pStyle w:val="Normal"/>
        <w:ind w:firstLine="720" w:start="720" w:end="0"/>
        <w:jc w:val="both"/>
        <w:rPr>
          <w:color w:val="FF0000"/>
          <w:sz w:val="22"/>
          <w:szCs w:val="22"/>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r>
        <w:rPr>
          <w:color w:val="FF00FF"/>
          <w:sz w:val="22"/>
          <w:szCs w:val="22"/>
        </w:rPr>
        <w:t xml:space="preserve"> </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color w:val="FF00FF"/>
          <w:sz w:val="22"/>
          <w:szCs w:val="22"/>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FF00FF"/>
          <w:sz w:val="22"/>
          <w:szCs w:val="22"/>
        </w:rPr>
      </w:pPr>
      <w:r>
        <w:rPr>
          <w:color w:val="FF00FF"/>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FF00FF"/>
          <w:sz w:val="22"/>
          <w:szCs w:val="22"/>
        </w:rPr>
      </w:pPr>
      <w:r>
        <w:rPr>
          <w:color w:val="FF00FF"/>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Normal"/>
        <w:jc w:val="both"/>
        <w:rPr/>
      </w:pPr>
      <w:r>
        <w:rPr>
          <w:sz w:val="22"/>
          <w:szCs w:val="22"/>
        </w:rPr>
        <w:t xml:space="preserve">termination of this Agreement pursuant to the terms hereof shall remain, payable solely out of or from </w:t>
      </w:r>
      <w:r>
        <w:rPr>
          <w:i/>
          <w:iCs/>
          <w:sz w:val="22"/>
          <w:szCs w:val="22"/>
        </w:rPr>
        <w:t>[specify source of payments]___________________________________</w:t>
      </w:r>
      <w:r>
        <w:rPr>
          <w:sz w:val="22"/>
          <w:szCs w:val="22"/>
        </w:rPr>
        <w:t>.</w:t>
      </w:r>
    </w:p>
    <w:p>
      <w:pPr>
        <w:pStyle w:val="Normal"/>
        <w:jc w:val="both"/>
        <w:rPr>
          <w:color w:val="FF00FF"/>
          <w:sz w:val="22"/>
          <w:szCs w:val="22"/>
        </w:rPr>
      </w:pPr>
      <w:r>
        <w:rPr>
          <w:color w:val="FF00FF"/>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Justified"/>
        <w:widowControl/>
        <w:spacing w:before="0" w:after="0"/>
        <w:rPr>
          <w:color w:val="FF0000"/>
        </w:rPr>
      </w:pPr>
      <w:r>
        <w:rPr>
          <w:rFonts w:cs="Times New Roman" w:ascii="Times New Roman" w:hAnsi="Times New Roman"/>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(o)</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(t)</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szCs w:val="22"/>
        </w:rPr>
        <w:t>]</w:t>
      </w:r>
      <w:r>
        <w:rPr>
          <w:sz w:val="22"/>
          <w:szCs w:val="22"/>
        </w:rPr>
        <w:t xml:space="preserve"> </w:t>
      </w:r>
    </w:p>
    <w:p>
      <w:pPr>
        <w:pStyle w:val="Normal"/>
        <w:spacing w:lineRule="exact" w:line="240" w:before="240" w:after="0"/>
        <w:ind w:firstLine="720" w:end="0"/>
        <w:jc w:val="both"/>
        <w:rPr/>
      </w:pPr>
      <w:r>
        <w:rPr>
          <w:sz w:val="22"/>
          <w:szCs w:val="22"/>
        </w:rPr>
        <w:t xml:space="preserve">(u)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BodyTextIndent2"/>
        <w:widowControl/>
        <w:tabs>
          <w:tab w:val="clear" w:pos="1350"/>
        </w:tabs>
        <w:spacing w:lineRule="atLeast" w:line="240" w:before="240" w:after="0"/>
        <w:rPr/>
      </w:pPr>
      <w:r>
        <w:rPr>
          <w:rFonts w:cs="Times New Roman" w:ascii="Times New Roman" w:hAnsi="Times New Roman"/>
        </w:rPr>
        <w:t>(v)</w:t>
        <w:tab/>
      </w:r>
      <w:r>
        <w:rPr>
          <w:rFonts w:cs="Times New Roman" w:ascii="Times New Roman" w:hAnsi="Times New Roman"/>
          <w:b/>
          <w:bCs/>
        </w:rPr>
        <w:t>Additional Definitions</w:t>
      </w:r>
      <w:r>
        <w:rPr>
          <w:rFonts w:cs="Times New Roman" w:ascii="Times New Roman" w:hAnsi="Times New Roman"/>
        </w:rPr>
        <w:t>.  Section 14 of the Agreement is hereby amended by adding the following definitions:</w:t>
      </w:r>
    </w:p>
    <w:p>
      <w:pPr>
        <w:pStyle w:val="Normal"/>
        <w:spacing w:lineRule="exact" w:line="240"/>
        <w:ind w:hanging="720" w:start="1440" w:end="0"/>
        <w:jc w:val="both"/>
        <w:rPr>
          <w:rFonts w:ascii="Times New Roman" w:hAnsi="Times New Roman" w:cs="Times New Roman"/>
          <w:color w:val="FF00FF"/>
          <w:sz w:val="22"/>
          <w:szCs w:val="22"/>
        </w:rPr>
      </w:pPr>
      <w:r>
        <w:rPr>
          <w:rFonts w:cs="Times New Roman"/>
          <w:color w:val="FF00FF"/>
          <w:sz w:val="22"/>
          <w:szCs w:val="22"/>
        </w:rPr>
      </w:r>
    </w:p>
    <w:p>
      <w:pPr>
        <w:pStyle w:val="Normal"/>
        <w:spacing w:lineRule="exact" w:line="240"/>
        <w:ind w:hanging="720" w:start="1440" w:end="0"/>
        <w:jc w:val="both"/>
        <w:rPr>
          <w:sz w:val="22"/>
          <w:szCs w:val="22"/>
        </w:rPr>
      </w:pPr>
      <w:r>
        <w:rPr>
          <w:sz w:val="22"/>
          <w:szCs w:val="22"/>
        </w:rPr>
        <w:t>(i)</w:t>
        <w:tab/>
      </w:r>
      <w:r>
        <w:rPr>
          <w:b/>
          <w:bCs/>
          <w:sz w:val="22"/>
          <w:szCs w:val="22"/>
        </w:rPr>
        <w:t>“Authorizing Law”</w:t>
      </w:r>
      <w:r>
        <w:rPr>
          <w:sz w:val="22"/>
          <w:szCs w:val="22"/>
        </w:rPr>
        <w:t xml:space="preserve"> means </w:t>
      </w:r>
      <w:r>
        <w:rPr>
          <w:i/>
          <w:iCs/>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sz w:val="22"/>
          <w:szCs w:val="22"/>
        </w:rPr>
      </w:pPr>
      <w:r>
        <w:rPr>
          <w:sz w:val="22"/>
          <w:szCs w:val="22"/>
        </w:rPr>
      </w:r>
    </w:p>
    <w:p>
      <w:pPr>
        <w:pStyle w:val="Normal"/>
        <w:numPr>
          <w:ilvl w:val="0"/>
          <w:numId w:val="2"/>
        </w:numPr>
        <w:spacing w:lineRule="exact" w:line="240"/>
        <w:jc w:val="both"/>
        <w:rPr>
          <w:b/>
          <w:bCs/>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rPr>
                <w:b/>
                <w:bCs/>
                <w:sz w:val="22"/>
                <w:szCs w:val="22"/>
              </w:rPr>
            </w:pPr>
            <w:r>
              <w:rPr>
                <w:b/>
                <w:bCs/>
                <w:sz w:val="22"/>
                <w:szCs w:val="22"/>
              </w:rPr>
              <w:t>PORT OF OAKLAND,</w:t>
            </w:r>
          </w:p>
          <w:p>
            <w:pPr>
              <w:pStyle w:val="Normal"/>
              <w:keepNext w:val="true"/>
              <w:spacing w:lineRule="exact" w:line="240"/>
              <w:rPr>
                <w:sz w:val="22"/>
                <w:szCs w:val="22"/>
              </w:rPr>
            </w:pPr>
            <w:r>
              <w:rPr>
                <w:b/>
                <w:bCs/>
                <w:sz w:val="22"/>
                <w:szCs w:val="22"/>
              </w:rPr>
              <w:t>a Department of the City of Oakland</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3"/>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Port of Oakland, a Department of the City of Oakland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 of California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pPr>
      <w:r>
        <w:rPr>
          <w:sz w:val="22"/>
          <w:szCs w:val="22"/>
        </w:rPr>
        <w:t>5.</w:t>
        <w:tab/>
      </w:r>
      <w:r>
        <w:rPr>
          <w:sz w:val="22"/>
        </w:rPr>
        <w:t>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p>
      <w:pPr>
        <w:sectPr>
          <w:headerReference w:type="default" r:id="rId4"/>
          <w:footerReference w:type="default" r:id="rId5"/>
          <w:footerReference w:type="first" r:id="rId6"/>
          <w:type w:val="nextPage"/>
          <w:pgSz w:w="12240" w:h="15840"/>
          <w:pgMar w:left="1440" w:right="1440" w:gutter="0" w:header="720" w:top="1008" w:footer="720" w:bottom="1008"/>
          <w:pgNumType w:fmt="decimal"/>
          <w:formProt w:val="false"/>
          <w:textDirection w:val="lrTb"/>
          <w:docGrid w:type="default" w:linePitch="360" w:charSpace="0"/>
        </w:sectPr>
        <w:pStyle w:val="Header"/>
        <w:widowControl/>
        <w:rPr>
          <w:sz w:val="22"/>
          <w:szCs w:val="22"/>
        </w:rPr>
      </w:pPr>
      <w:r>
        <w:rPr>
          <w:sz w:val="22"/>
          <w:szCs w:val="22"/>
        </w:rPr>
      </w:r>
    </w:p>
    <w:p>
      <w:pPr>
        <w:pStyle w:val="Normal"/>
        <w:jc w:val="end"/>
        <w:rPr>
          <w:b/>
          <w:bCs/>
          <w:sz w:val="22"/>
          <w:szCs w:val="22"/>
          <w:u w:val="single"/>
        </w:rPr>
      </w:pPr>
      <w:r>
        <w:rPr>
          <w:b/>
          <w:bCs/>
          <w:sz w:val="22"/>
          <w:szCs w:val="22"/>
          <w:u w:val="single"/>
        </w:rPr>
        <w:t>DRAFT OF 02/08/2001</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PORT OF OAKLAND, a Department of the City of Oakland, a _____________ organized under the law of the State of California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jc w:val="both"/>
        <w:rPr>
          <w:color w:val="993300"/>
          <w:sz w:val="22"/>
          <w:szCs w:val="22"/>
        </w:rPr>
      </w:pPr>
      <w:r>
        <w:rPr>
          <w:color w:val="993300"/>
          <w:sz w:val="22"/>
          <w:szCs w:val="22"/>
        </w:rPr>
      </w:r>
    </w:p>
    <w:p>
      <w:pPr>
        <w:pStyle w:val="Normal"/>
        <w:ind w:start="720" w:end="0"/>
        <w:jc w:val="both"/>
        <w:rPr>
          <w:sz w:val="22"/>
          <w:szCs w:val="22"/>
        </w:rPr>
      </w:pPr>
      <w:r>
        <w:rPr>
          <w:color w:val="000000"/>
          <w:sz w:val="22"/>
          <w:szCs w:val="22"/>
        </w:rPr>
        <w:t xml:space="preserve">(B)  </w:t>
      </w:r>
      <w:r>
        <w:rPr>
          <w:b/>
          <w:bCs/>
          <w:color w:val="000000"/>
          <w:sz w:val="22"/>
          <w:szCs w:val="22"/>
        </w:rPr>
        <w:t>“Threshold”</w:t>
      </w:r>
      <w:r>
        <w:rPr>
          <w:color w:val="000000"/>
          <w:sz w:val="22"/>
          <w:szCs w:val="22"/>
        </w:rPr>
        <w:t xml:space="preserve"> means, with respect to Party A (a) the amount set forth opposite the lowest Credit Rating for Party A’s Credit Support Provider on the relevant date of determination; or (b) zero if on the relevant date of determination (i) the entity referred to in clause (a) above does not have a Credit Rating from either S&amp;P or Moody's, or (ii) an Event of Default or Potential Event of Default with respect to Party A has occurred and is continuing:</w:t>
      </w:r>
    </w:p>
    <w:p>
      <w:pPr>
        <w:pStyle w:val="Normal"/>
        <w:ind w:hanging="720" w:start="2160" w:end="0"/>
        <w:jc w:val="both"/>
        <w:rPr>
          <w:sz w:val="22"/>
          <w:szCs w:val="22"/>
        </w:rPr>
      </w:pPr>
      <w:r>
        <w:rPr>
          <w:sz w:val="22"/>
          <w:szCs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szCs w:val="22"/>
              </w:rPr>
            </w:pPr>
            <w:r>
              <w:rPr>
                <w:b/>
                <w:bCs/>
                <w:sz w:val="22"/>
                <w:szCs w:val="22"/>
                <w:u w:val="single"/>
              </w:rPr>
              <w:t>THRESHOLD</w:t>
            </w:r>
          </w:p>
        </w:tc>
        <w:tc>
          <w:tcPr>
            <w:tcW w:w="2381" w:type="dxa"/>
            <w:tcBorders/>
          </w:tcPr>
          <w:p>
            <w:pPr>
              <w:pStyle w:val="BodyTextIndent2"/>
              <w:ind w:hanging="0" w:end="0"/>
              <w:jc w:val="start"/>
              <w:rPr>
                <w:b/>
                <w:bCs/>
                <w:u w:val="single"/>
              </w:rPr>
            </w:pPr>
            <w:r>
              <w:rPr>
                <w:b/>
                <w:bCs/>
                <w:u w:val="single"/>
              </w:rPr>
              <w:t>S&amp;P CREDIT RATING</w:t>
            </w:r>
          </w:p>
          <w:p>
            <w:pPr>
              <w:pStyle w:val="Normal"/>
              <w:ind w:start="-18" w:end="0"/>
              <w:rPr>
                <w:b/>
                <w:bCs/>
                <w:sz w:val="22"/>
                <w:szCs w:val="22"/>
                <w:u w:val="single"/>
              </w:rPr>
            </w:pPr>
            <w:r>
              <w:rPr>
                <w:b/>
                <w:bCs/>
                <w:sz w:val="22"/>
                <w:szCs w:val="22"/>
                <w:u w:val="single"/>
              </w:rPr>
            </w:r>
          </w:p>
        </w:tc>
        <w:tc>
          <w:tcPr>
            <w:tcW w:w="2479" w:type="dxa"/>
            <w:tcBorders/>
          </w:tcPr>
          <w:p>
            <w:pPr>
              <w:pStyle w:val="Normal"/>
              <w:rPr>
                <w:b/>
                <w:bCs/>
                <w:sz w:val="22"/>
                <w:szCs w:val="22"/>
                <w:u w:val="single"/>
              </w:rPr>
            </w:pPr>
            <w:r>
              <w:rPr>
                <w:b/>
                <w:bCs/>
                <w:sz w:val="22"/>
                <w:szCs w:val="22"/>
                <w:u w:val="single"/>
              </w:rPr>
              <w:t>MOODY'S CREDIT RATING</w:t>
            </w:r>
          </w:p>
          <w:p>
            <w:pPr>
              <w:pStyle w:val="Normal"/>
              <w:rPr>
                <w:b/>
                <w:bCs/>
                <w:sz w:val="22"/>
                <w:szCs w:val="22"/>
                <w:u w:val="single"/>
              </w:rPr>
            </w:pPr>
            <w:r>
              <w:rPr>
                <w:b/>
                <w:bCs/>
                <w:sz w:val="22"/>
                <w:szCs w:val="22"/>
                <w:u w:val="single"/>
              </w:rPr>
            </w:r>
          </w:p>
        </w:tc>
      </w:tr>
      <w:tr>
        <w:trPr/>
        <w:tc>
          <w:tcPr>
            <w:tcW w:w="2520" w:type="dxa"/>
            <w:tcBorders/>
          </w:tcPr>
          <w:p>
            <w:pPr>
              <w:pStyle w:val="Normal"/>
              <w:rPr>
                <w:sz w:val="22"/>
                <w:szCs w:val="22"/>
              </w:rPr>
            </w:pPr>
            <w:r>
              <w:rPr>
                <w:sz w:val="22"/>
                <w:szCs w:val="22"/>
              </w:rPr>
              <w:t>U.S. $ 50,000,000</w:t>
            </w:r>
          </w:p>
        </w:tc>
        <w:tc>
          <w:tcPr>
            <w:tcW w:w="2381" w:type="dxa"/>
            <w:tcBorders/>
          </w:tcPr>
          <w:p>
            <w:pPr>
              <w:pStyle w:val="Normal"/>
              <w:ind w:start="-18" w:end="0"/>
              <w:rPr>
                <w:sz w:val="22"/>
                <w:szCs w:val="22"/>
              </w:rPr>
            </w:pPr>
            <w:r>
              <w:rPr>
                <w:sz w:val="22"/>
                <w:szCs w:val="22"/>
              </w:rPr>
              <w:t>A (or above)</w:t>
            </w:r>
          </w:p>
        </w:tc>
        <w:tc>
          <w:tcPr>
            <w:tcW w:w="2479" w:type="dxa"/>
            <w:tcBorders/>
          </w:tcPr>
          <w:p>
            <w:pPr>
              <w:pStyle w:val="Normal"/>
              <w:rPr>
                <w:sz w:val="22"/>
                <w:szCs w:val="22"/>
              </w:rPr>
            </w:pPr>
            <w:r>
              <w:rPr>
                <w:sz w:val="22"/>
                <w:szCs w:val="22"/>
              </w:rPr>
              <w:t>A2 (or above)</w:t>
            </w:r>
          </w:p>
        </w:tc>
      </w:tr>
      <w:tr>
        <w:trPr/>
        <w:tc>
          <w:tcPr>
            <w:tcW w:w="2520" w:type="dxa"/>
            <w:tcBorders/>
          </w:tcPr>
          <w:p>
            <w:pPr>
              <w:pStyle w:val="Normal"/>
              <w:rPr>
                <w:sz w:val="22"/>
                <w:szCs w:val="22"/>
              </w:rPr>
            </w:pPr>
            <w:r>
              <w:rPr>
                <w:sz w:val="22"/>
                <w:szCs w:val="22"/>
              </w:rPr>
              <w:t>U.S. $ 35,000,000</w:t>
            </w:r>
          </w:p>
        </w:tc>
        <w:tc>
          <w:tcPr>
            <w:tcW w:w="2381" w:type="dxa"/>
            <w:tcBorders/>
          </w:tcPr>
          <w:p>
            <w:pPr>
              <w:pStyle w:val="Normal"/>
              <w:ind w:start="-18" w:end="0"/>
              <w:rPr>
                <w:sz w:val="22"/>
                <w:szCs w:val="22"/>
              </w:rPr>
            </w:pPr>
            <w:r>
              <w:rPr>
                <w:sz w:val="22"/>
                <w:szCs w:val="22"/>
              </w:rPr>
              <w:t>BBB+ to A-</w:t>
            </w:r>
          </w:p>
        </w:tc>
        <w:tc>
          <w:tcPr>
            <w:tcW w:w="2479" w:type="dxa"/>
            <w:tcBorders/>
          </w:tcPr>
          <w:p>
            <w:pPr>
              <w:pStyle w:val="Normal"/>
              <w:rPr>
                <w:sz w:val="22"/>
                <w:szCs w:val="22"/>
              </w:rPr>
            </w:pPr>
            <w:r>
              <w:rPr>
                <w:sz w:val="22"/>
                <w:szCs w:val="22"/>
              </w:rPr>
              <w:t>Aaa1 to A3</w:t>
            </w:r>
          </w:p>
        </w:tc>
      </w:tr>
      <w:tr>
        <w:trPr/>
        <w:tc>
          <w:tcPr>
            <w:tcW w:w="2520" w:type="dxa"/>
            <w:tcBorders/>
          </w:tcPr>
          <w:p>
            <w:pPr>
              <w:pStyle w:val="Normal"/>
              <w:rPr>
                <w:sz w:val="22"/>
                <w:szCs w:val="22"/>
              </w:rPr>
            </w:pPr>
            <w:r>
              <w:rPr>
                <w:sz w:val="22"/>
                <w:szCs w:val="22"/>
              </w:rPr>
              <w:t>U.S. $ 25,000,000</w:t>
            </w:r>
          </w:p>
        </w:tc>
        <w:tc>
          <w:tcPr>
            <w:tcW w:w="2381" w:type="dxa"/>
            <w:tcBorders/>
          </w:tcPr>
          <w:p>
            <w:pPr>
              <w:pStyle w:val="Normal"/>
              <w:ind w:start="-18" w:end="0"/>
              <w:rPr>
                <w:sz w:val="22"/>
                <w:szCs w:val="22"/>
              </w:rPr>
            </w:pPr>
            <w:r>
              <w:rPr>
                <w:sz w:val="22"/>
                <w:szCs w:val="22"/>
              </w:rPr>
              <w:t>BBB- to BBB</w:t>
            </w:r>
          </w:p>
        </w:tc>
        <w:tc>
          <w:tcPr>
            <w:tcW w:w="2479" w:type="dxa"/>
            <w:tcBorders/>
          </w:tcPr>
          <w:p>
            <w:pPr>
              <w:pStyle w:val="Normal"/>
              <w:rPr>
                <w:sz w:val="22"/>
                <w:szCs w:val="22"/>
              </w:rPr>
            </w:pPr>
            <w:r>
              <w:rPr>
                <w:sz w:val="22"/>
                <w:szCs w:val="22"/>
              </w:rPr>
              <w:t>Baa3 to Baa2</w:t>
            </w:r>
          </w:p>
        </w:tc>
      </w:tr>
      <w:tr>
        <w:trPr/>
        <w:tc>
          <w:tcPr>
            <w:tcW w:w="2520" w:type="dxa"/>
            <w:tcBorders/>
          </w:tcPr>
          <w:p>
            <w:pPr>
              <w:pStyle w:val="Normal"/>
              <w:rPr>
                <w:sz w:val="22"/>
                <w:szCs w:val="22"/>
              </w:rPr>
            </w:pPr>
            <w:r>
              <w:rPr>
                <w:sz w:val="22"/>
                <w:szCs w:val="22"/>
              </w:rPr>
              <w:t>U.S. $ 0</w:t>
            </w:r>
          </w:p>
        </w:tc>
        <w:tc>
          <w:tcPr>
            <w:tcW w:w="2381" w:type="dxa"/>
            <w:tcBorders/>
          </w:tcPr>
          <w:p>
            <w:pPr>
              <w:pStyle w:val="Normal"/>
              <w:ind w:start="-18" w:end="0"/>
              <w:rPr>
                <w:sz w:val="22"/>
                <w:szCs w:val="22"/>
              </w:rPr>
            </w:pPr>
            <w:r>
              <w:rPr>
                <w:sz w:val="22"/>
                <w:szCs w:val="22"/>
              </w:rPr>
              <w:t>Below BBB-</w:t>
            </w:r>
          </w:p>
        </w:tc>
        <w:tc>
          <w:tcPr>
            <w:tcW w:w="2479" w:type="dxa"/>
            <w:tcBorders/>
          </w:tcPr>
          <w:p>
            <w:pPr>
              <w:pStyle w:val="Normal"/>
              <w:rPr>
                <w:sz w:val="22"/>
                <w:szCs w:val="22"/>
              </w:rPr>
            </w:pPr>
            <w:r>
              <w:rPr>
                <w:sz w:val="22"/>
                <w:szCs w:val="22"/>
              </w:rPr>
              <w:t>Below Baa3</w:t>
            </w:r>
          </w:p>
        </w:tc>
      </w:tr>
    </w:tbl>
    <w:p>
      <w:pPr>
        <w:pStyle w:val="Normal"/>
        <w:jc w:val="both"/>
        <w:rPr>
          <w:sz w:val="22"/>
          <w:szCs w:val="22"/>
        </w:rPr>
      </w:pPr>
      <w:r>
        <w:rPr>
          <w:sz w:val="22"/>
          <w:szCs w:val="22"/>
        </w:rPr>
      </w:r>
    </w:p>
    <w:p>
      <w:pPr>
        <w:pStyle w:val="Normal"/>
        <w:ind w:start="720" w:end="0"/>
        <w:jc w:val="both"/>
        <w:rPr>
          <w:sz w:val="22"/>
          <w:szCs w:val="22"/>
        </w:rPr>
      </w:pPr>
      <w:r>
        <w:rPr>
          <w:b/>
          <w:bCs/>
          <w:color w:val="000000"/>
          <w:sz w:val="22"/>
          <w:szCs w:val="22"/>
        </w:rPr>
        <w:t>“</w:t>
      </w:r>
      <w:r>
        <w:rPr>
          <w:b/>
          <w:bCs/>
          <w:color w:val="000000"/>
          <w:sz w:val="22"/>
          <w:szCs w:val="22"/>
        </w:rPr>
        <w:t>Threshold”</w:t>
      </w:r>
      <w:r>
        <w:rPr>
          <w:color w:val="000000"/>
          <w:sz w:val="22"/>
          <w:szCs w:val="22"/>
        </w:rPr>
        <w:t xml:space="preserve"> means, with respect to Party B (a) the amount set forth opposite the lowest Credit Rating for Party B on the relevant date of determination; or (b) zero if on the relevant date of determination (i) the entity referred to in clause (a) above does not have a Credit Rating from either S&amp;P or Moody's, or (ii) an Event of Default or Potential Event of Default with respect to Party B has occurred and is continuing:</w:t>
      </w:r>
      <w:r>
        <w:br w:type="page"/>
      </w:r>
    </w:p>
    <w:p>
      <w:pPr>
        <w:pStyle w:val="Normal"/>
        <w:ind w:hanging="720" w:start="2160" w:end="0"/>
        <w:jc w:val="both"/>
        <w:rPr>
          <w:sz w:val="22"/>
          <w:szCs w:val="22"/>
        </w:rPr>
      </w:pPr>
      <w:r>
        <w:rPr>
          <w:sz w:val="22"/>
          <w:szCs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szCs w:val="22"/>
              </w:rPr>
            </w:pPr>
            <w:r>
              <w:rPr>
                <w:b/>
                <w:bCs/>
                <w:sz w:val="22"/>
                <w:szCs w:val="22"/>
                <w:u w:val="single"/>
              </w:rPr>
              <w:t>THRESHOLD</w:t>
            </w:r>
          </w:p>
        </w:tc>
        <w:tc>
          <w:tcPr>
            <w:tcW w:w="2381" w:type="dxa"/>
            <w:tcBorders/>
          </w:tcPr>
          <w:p>
            <w:pPr>
              <w:pStyle w:val="BodyTextIndent2"/>
              <w:ind w:hanging="0" w:end="0"/>
              <w:jc w:val="start"/>
              <w:rPr>
                <w:b/>
                <w:bCs/>
                <w:u w:val="single"/>
              </w:rPr>
            </w:pPr>
            <w:r>
              <w:rPr>
                <w:b/>
                <w:bCs/>
                <w:u w:val="single"/>
              </w:rPr>
              <w:t>S&amp;P CREDIT RATING</w:t>
            </w:r>
          </w:p>
          <w:p>
            <w:pPr>
              <w:pStyle w:val="Normal"/>
              <w:ind w:start="-18" w:end="0"/>
              <w:rPr>
                <w:b/>
                <w:bCs/>
                <w:sz w:val="22"/>
                <w:szCs w:val="22"/>
                <w:u w:val="single"/>
              </w:rPr>
            </w:pPr>
            <w:r>
              <w:rPr>
                <w:b/>
                <w:bCs/>
                <w:sz w:val="22"/>
                <w:szCs w:val="22"/>
                <w:u w:val="single"/>
              </w:rPr>
            </w:r>
          </w:p>
        </w:tc>
        <w:tc>
          <w:tcPr>
            <w:tcW w:w="2479" w:type="dxa"/>
            <w:tcBorders/>
          </w:tcPr>
          <w:p>
            <w:pPr>
              <w:pStyle w:val="Normal"/>
              <w:rPr>
                <w:b/>
                <w:bCs/>
                <w:sz w:val="22"/>
                <w:szCs w:val="22"/>
                <w:u w:val="single"/>
              </w:rPr>
            </w:pPr>
            <w:r>
              <w:rPr>
                <w:b/>
                <w:bCs/>
                <w:sz w:val="22"/>
                <w:szCs w:val="22"/>
                <w:u w:val="single"/>
              </w:rPr>
              <w:t>MOODY'S CREDIT RATING</w:t>
            </w:r>
          </w:p>
          <w:p>
            <w:pPr>
              <w:pStyle w:val="Normal"/>
              <w:rPr>
                <w:b/>
                <w:bCs/>
                <w:sz w:val="22"/>
                <w:szCs w:val="22"/>
                <w:u w:val="single"/>
              </w:rPr>
            </w:pPr>
            <w:r>
              <w:rPr>
                <w:b/>
                <w:bCs/>
                <w:sz w:val="22"/>
                <w:szCs w:val="22"/>
                <w:u w:val="single"/>
              </w:rPr>
            </w:r>
          </w:p>
        </w:tc>
      </w:tr>
      <w:tr>
        <w:trPr/>
        <w:tc>
          <w:tcPr>
            <w:tcW w:w="2520" w:type="dxa"/>
            <w:tcBorders/>
          </w:tcPr>
          <w:p>
            <w:pPr>
              <w:pStyle w:val="Normal"/>
              <w:rPr>
                <w:sz w:val="22"/>
                <w:szCs w:val="22"/>
              </w:rPr>
            </w:pPr>
            <w:r>
              <w:rPr>
                <w:sz w:val="22"/>
                <w:szCs w:val="22"/>
              </w:rPr>
              <w:t>U.S. $ 10,000,000</w:t>
            </w:r>
          </w:p>
        </w:tc>
        <w:tc>
          <w:tcPr>
            <w:tcW w:w="2381" w:type="dxa"/>
            <w:tcBorders/>
          </w:tcPr>
          <w:p>
            <w:pPr>
              <w:pStyle w:val="Normal"/>
              <w:ind w:start="-18" w:end="0"/>
              <w:rPr>
                <w:sz w:val="22"/>
                <w:szCs w:val="22"/>
              </w:rPr>
            </w:pPr>
            <w:r>
              <w:rPr>
                <w:sz w:val="22"/>
                <w:szCs w:val="22"/>
              </w:rPr>
              <w:t>A (or above)</w:t>
            </w:r>
          </w:p>
        </w:tc>
        <w:tc>
          <w:tcPr>
            <w:tcW w:w="2479" w:type="dxa"/>
            <w:tcBorders/>
          </w:tcPr>
          <w:p>
            <w:pPr>
              <w:pStyle w:val="Normal"/>
              <w:rPr>
                <w:sz w:val="22"/>
                <w:szCs w:val="22"/>
              </w:rPr>
            </w:pPr>
            <w:r>
              <w:rPr>
                <w:sz w:val="22"/>
                <w:szCs w:val="22"/>
              </w:rPr>
              <w:t>A2 (or above)</w:t>
            </w:r>
          </w:p>
        </w:tc>
      </w:tr>
      <w:tr>
        <w:trPr/>
        <w:tc>
          <w:tcPr>
            <w:tcW w:w="2520" w:type="dxa"/>
            <w:tcBorders/>
          </w:tcPr>
          <w:p>
            <w:pPr>
              <w:pStyle w:val="Normal"/>
              <w:rPr>
                <w:sz w:val="22"/>
                <w:szCs w:val="22"/>
              </w:rPr>
            </w:pPr>
            <w:r>
              <w:rPr>
                <w:sz w:val="22"/>
                <w:szCs w:val="22"/>
              </w:rPr>
              <w:t>U.S. $   8,000,000</w:t>
            </w:r>
          </w:p>
        </w:tc>
        <w:tc>
          <w:tcPr>
            <w:tcW w:w="2381" w:type="dxa"/>
            <w:tcBorders/>
          </w:tcPr>
          <w:p>
            <w:pPr>
              <w:pStyle w:val="Normal"/>
              <w:ind w:start="-18" w:end="0"/>
              <w:rPr>
                <w:sz w:val="22"/>
                <w:szCs w:val="22"/>
              </w:rPr>
            </w:pPr>
            <w:r>
              <w:rPr>
                <w:sz w:val="22"/>
                <w:szCs w:val="22"/>
              </w:rPr>
              <w:t>BBB+ to A-</w:t>
            </w:r>
          </w:p>
        </w:tc>
        <w:tc>
          <w:tcPr>
            <w:tcW w:w="2479" w:type="dxa"/>
            <w:tcBorders/>
          </w:tcPr>
          <w:p>
            <w:pPr>
              <w:pStyle w:val="Normal"/>
              <w:rPr>
                <w:sz w:val="22"/>
                <w:szCs w:val="22"/>
              </w:rPr>
            </w:pPr>
            <w:r>
              <w:rPr>
                <w:sz w:val="22"/>
                <w:szCs w:val="22"/>
              </w:rPr>
              <w:t>Aaa1 to A3</w:t>
            </w:r>
          </w:p>
        </w:tc>
      </w:tr>
      <w:tr>
        <w:trPr/>
        <w:tc>
          <w:tcPr>
            <w:tcW w:w="2520" w:type="dxa"/>
            <w:tcBorders/>
          </w:tcPr>
          <w:p>
            <w:pPr>
              <w:pStyle w:val="Normal"/>
              <w:rPr>
                <w:sz w:val="22"/>
                <w:szCs w:val="22"/>
              </w:rPr>
            </w:pPr>
            <w:r>
              <w:rPr>
                <w:sz w:val="22"/>
                <w:szCs w:val="22"/>
              </w:rPr>
              <w:t>U.S. $   5,000,000</w:t>
            </w:r>
          </w:p>
        </w:tc>
        <w:tc>
          <w:tcPr>
            <w:tcW w:w="2381" w:type="dxa"/>
            <w:tcBorders/>
          </w:tcPr>
          <w:p>
            <w:pPr>
              <w:pStyle w:val="Normal"/>
              <w:ind w:start="-18" w:end="0"/>
              <w:rPr>
                <w:sz w:val="22"/>
                <w:szCs w:val="22"/>
              </w:rPr>
            </w:pPr>
            <w:r>
              <w:rPr>
                <w:sz w:val="22"/>
                <w:szCs w:val="22"/>
              </w:rPr>
              <w:t>BBB- to BBB</w:t>
            </w:r>
          </w:p>
        </w:tc>
        <w:tc>
          <w:tcPr>
            <w:tcW w:w="2479" w:type="dxa"/>
            <w:tcBorders/>
          </w:tcPr>
          <w:p>
            <w:pPr>
              <w:pStyle w:val="Normal"/>
              <w:rPr>
                <w:sz w:val="22"/>
                <w:szCs w:val="22"/>
              </w:rPr>
            </w:pPr>
            <w:r>
              <w:rPr>
                <w:sz w:val="22"/>
                <w:szCs w:val="22"/>
              </w:rPr>
              <w:t>Baa3 to Baa2</w:t>
            </w:r>
          </w:p>
        </w:tc>
      </w:tr>
      <w:tr>
        <w:trPr/>
        <w:tc>
          <w:tcPr>
            <w:tcW w:w="2520" w:type="dxa"/>
            <w:tcBorders/>
          </w:tcPr>
          <w:p>
            <w:pPr>
              <w:pStyle w:val="Normal"/>
              <w:rPr>
                <w:sz w:val="22"/>
                <w:szCs w:val="22"/>
              </w:rPr>
            </w:pPr>
            <w:r>
              <w:rPr>
                <w:sz w:val="22"/>
                <w:szCs w:val="22"/>
              </w:rPr>
              <w:t>U.S. $   0</w:t>
            </w:r>
          </w:p>
        </w:tc>
        <w:tc>
          <w:tcPr>
            <w:tcW w:w="2381" w:type="dxa"/>
            <w:tcBorders/>
          </w:tcPr>
          <w:p>
            <w:pPr>
              <w:pStyle w:val="Normal"/>
              <w:ind w:start="-18" w:end="0"/>
              <w:rPr>
                <w:sz w:val="22"/>
                <w:szCs w:val="22"/>
              </w:rPr>
            </w:pPr>
            <w:r>
              <w:rPr>
                <w:sz w:val="22"/>
                <w:szCs w:val="22"/>
              </w:rPr>
              <w:t>Below BBB-</w:t>
            </w:r>
          </w:p>
        </w:tc>
        <w:tc>
          <w:tcPr>
            <w:tcW w:w="2479" w:type="dxa"/>
            <w:tcBorders/>
          </w:tcPr>
          <w:p>
            <w:pPr>
              <w:pStyle w:val="Normal"/>
              <w:rPr>
                <w:sz w:val="22"/>
                <w:szCs w:val="22"/>
              </w:rPr>
            </w:pPr>
            <w:r>
              <w:rPr>
                <w:sz w:val="22"/>
                <w:szCs w:val="22"/>
              </w:rPr>
              <w:t>Below Baa3</w:t>
            </w:r>
          </w:p>
        </w:tc>
      </w:tr>
    </w:tbl>
    <w:p>
      <w:pPr>
        <w:pStyle w:val="Normal"/>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 or “Baa3” or higher by Moody’s.</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 has a Credit Rating</w:t>
      </w:r>
      <w:r>
        <w:rPr>
          <w:color w:val="000000"/>
          <w:sz w:val="22"/>
          <w:szCs w:val="22"/>
        </w:rPr>
        <w:t xml:space="preserve"> from S&amp;P</w:t>
      </w:r>
      <w:r>
        <w:rPr>
          <w:sz w:val="22"/>
          <w:szCs w:val="22"/>
        </w:rPr>
        <w:t xml:space="preserve"> and the lowest Credit Rating for it is “BBB-” or higher by S&amp;P or “Baa3” or higher by Moody’s.</w:t>
      </w:r>
    </w:p>
    <w:p>
      <w:pPr>
        <w:pStyle w:val="Normal"/>
        <w:ind w:start="1080" w:end="0"/>
        <w:jc w:val="both"/>
        <w:rPr>
          <w:sz w:val="22"/>
          <w:szCs w:val="22"/>
        </w:rPr>
      </w:pPr>
      <w:r>
        <w:rPr>
          <w:sz w:val="22"/>
          <w:szCs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color w:val="FF0000"/>
          <w:sz w:val="22"/>
          <w:szCs w:val="22"/>
        </w:rPr>
      </w:pPr>
      <w:r>
        <w:rPr>
          <w:b/>
          <w:bCs/>
          <w:sz w:val="22"/>
          <w:szCs w:val="22"/>
        </w:rPr>
        <w:t>“</w:t>
      </w:r>
      <w:r>
        <w:rPr>
          <w:b/>
          <w:bCs/>
          <w:sz w:val="22"/>
          <w:szCs w:val="22"/>
        </w:rPr>
        <w:t>Credit Rating”</w:t>
      </w:r>
      <w:r>
        <w:rPr>
          <w:sz w:val="22"/>
          <w:szCs w:val="22"/>
        </w:rPr>
        <w:t xml:space="preserve"> means with respect to Party A’s Credit Support Provider, on any date of determination, the respective ratings then assigned to Party A’s Credit Support Provider’s unsecured, senior long-term debt or deposit obligations (not supported by third party credit enhancement) by S&amp;P, Moody’s or the other specified rating agency or agencies, and with respect to Party B, on any date of determination, the Standard &amp; Poor’s Underlying Rating then assigned to Party B’s uninsured revenue bonds by S&amp;P or the rating then assigned to Party B’s uninsured revenue bonds by Moody’s.</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headerReference w:type="default" r:id="rId7"/>
          <w:headerReference w:type="first" r:id="rId8"/>
          <w:footerReference w:type="default" r:id="rId9"/>
          <w:footerReference w:type="first" r:id="rId10"/>
          <w:type w:val="nextPage"/>
          <w:pgSz w:w="12240" w:h="15840"/>
          <w:pgMar w:left="1080" w:right="1080" w:gutter="0" w:header="72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11"/>
          <w:headerReference w:type="first" r:id="rId12"/>
          <w:footerReference w:type="default" r:id="rId13"/>
          <w:footerReference w:type="first" r:id="rId14"/>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3"/>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sectPr>
          <w:headerReference w:type="default" r:id="rId15"/>
          <w:headerReference w:type="first" r:id="rId16"/>
          <w:footerReference w:type="default" r:id="rId17"/>
          <w:footerReference w:type="first" r:id="rId18"/>
          <w:type w:val="nextPage"/>
          <w:pgSz w:w="12240" w:h="15840"/>
          <w:pgMar w:left="1440" w:right="1440" w:gutter="0" w:header="720" w:top="1080" w:footer="720" w:bottom="776"/>
          <w:pgNumType w:fmt="decimal"/>
          <w:formProt w:val="false"/>
          <w:textDirection w:val="lrTb"/>
          <w:docGrid w:type="default" w:linePitch="360" w:charSpace="0"/>
        </w:sectPr>
        <w:pStyle w:val="Normal"/>
        <w:keepLines/>
        <w:spacing w:lineRule="exact" w:line="240"/>
        <w:jc w:val="center"/>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PORT OF OAKLAND, a Department of the City of Oakland, a </w:t>
      </w:r>
      <w:r>
        <w:rPr>
          <w:sz w:val="22"/>
          <w:szCs w:val="22"/>
          <w:u w:val="single"/>
        </w:rPr>
        <w:tab/>
        <w:tab/>
        <w:tab/>
      </w:r>
      <w:r>
        <w:rPr>
          <w:sz w:val="22"/>
          <w:szCs w:val="22"/>
        </w:rPr>
        <w:t xml:space="preserv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Port of Oakland</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9"/>
      <w:headerReference w:type="first" r:id="rId20"/>
      <w:footerReference w:type="default" r:id="rId21"/>
      <w:footerReference w:type="first" r:id="rId22"/>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/mnt/main-storage/datasets/enron-docs/doc/065ctr_oakland_.doc</w:t>
    </w:r>
    <w:r>
      <w:rPr>
        <w:rStyle w:val="PageNumber"/>
        <w:sz w:val="12"/>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/mnt/main-storage/datasets/enron-docs/doc/065ctr_oakland_.doc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/mnt/main-storage/datasets/enron-docs/doc/065ctr_oakland_.doc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/mnt/main-storage/datasets/enron-docs/doc/065ctr_oakland_.doc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/mnt/main-storage/datasets/enron-docs/doc/065ctr_oakland_.doc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/mnt/main-storage/datasets/enron-docs/doc/065ctr_oakland_.doc</w:t>
    </w:r>
    <w:r>
      <w:rPr>
        <w:sz w:val="12"/>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2001-02-08T18:06:00Z</dcterms:created>
  <dc:creator>mheard</dc:creator>
  <dc:description/>
  <dc:language>en-CA</dc:language>
  <cp:lastModifiedBy>spanus</cp:lastModifiedBy>
  <cp:lastPrinted>2001-02-09T16:36:00Z</cp:lastPrinted>
  <dcterms:modified xsi:type="dcterms:W3CDTF">2001-02-09T20:08:00Z</dcterms:modified>
  <cp:revision>10</cp:revision>
  <dc:subject/>
  <dc:title>ISDA Multicurrency Agreement</dc:title>
</cp:coreProperties>
</file>