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O:\LEGAL\SBOYD\CTR\061ECTR (QUARK POWER LLC - HEDGE FUND).DOC</w:t>
      </w:r>
    </w:p>
    <w:p>
      <w:pPr>
        <w:pStyle w:val="Normal"/>
        <w:bidi w:val="0"/>
        <w:jc w:val="start"/>
        <w:rPr/>
      </w:pPr>
      <w:r>
        <w:rPr/>
        <w:t>and revised document: O:\LEGAL\SBOYD\CTR\061FCTR (QUARK POWER LLC - HEDGE FUND).DOC</w:t>
      </w:r>
    </w:p>
    <w:p>
      <w:pPr>
        <w:pStyle w:val="Normal"/>
        <w:bidi w:val="0"/>
        <w:jc w:val="start"/>
        <w:rPr/>
      </w:pPr>
      <w:r>
        <w:rPr/>
      </w:r>
    </w:p>
    <w:p>
      <w:pPr>
        <w:pStyle w:val="Normal"/>
        <w:bidi w:val="0"/>
        <w:jc w:val="start"/>
        <w:rPr/>
      </w:pPr>
      <w:r>
        <w:rPr/>
        <w:t>CompareRite found        4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06/27/2001</w:t>
      </w:r>
      <w:r>
        <w:rPr>
          <w:rFonts w:ascii="Times New Roman" w:hAnsi="Times New Roman"/>
        </w:rPr>
        <w:t xml:space="preserve"> 07/02/2001</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t>QUARK POWER LLC, a limited liability company organized under the law of the State of Delaware (“Party B”)</w:t>
            </w:r>
          </w:p>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and with respect to Party B’s Credit Support Provider, U.S. $10,000,000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For the purpose of Section 6(e):    (i) Market Quotation will apply to any Transaction with a Termination Date two years or less from the Early Termination Date, Loss will apply to any other Transaction,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Additional Termination Event</w:t>
      </w:r>
      <w:r>
        <w:rPr>
          <w:rFonts w:ascii="Times New Roman" w:hAnsi="Times New Roman"/>
          <w:sz w:val="22"/>
        </w:rPr>
        <w:t xml:space="preserve"> will apply.    The following will each constitute an Additional Termination Event with respect to Party B:</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If in any twelve (12) month period the Net Asset Value of Party B’ Credit Support Provider declines by more than 50 %.</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sz w:val="22"/>
        </w:rPr>
        <w:t>If its Credit Support Provider’s Net Asset Value falls below U.S. $100,000,000.</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color w:val="000000"/>
          <w:sz w:val="22"/>
        </w:rPr>
        <w:t>The Manager of Party B’s Credit Support Provider is not an entity controlled by one or both of Nicholas Maounis and Donald Sussman, or another entity that is acceptable to Party A.</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color w:val="000000"/>
          <w:sz w:val="22"/>
        </w:rPr>
        <w:t>If Party B ceases to be controlled by Party B's Credit Support Provider.</w:t>
      </w:r>
    </w:p>
    <w:p>
      <w:pPr>
        <w:pStyle w:val="Normal"/>
        <w:bidi w:val="0"/>
        <w:spacing w:lineRule="exact" w:line="240" w:before="240" w:after="0"/>
        <w:ind w:firstLine="720"/>
        <w:jc w:val="both"/>
        <w:rPr>
          <w:rFonts w:ascii="Times New Roman" w:hAnsi="Times New Roman"/>
          <w:sz w:val="20"/>
        </w:rPr>
      </w:pPr>
      <w:r>
        <w:rPr>
          <w:rFonts w:ascii="Times New Roman" w:hAnsi="Times New Roman"/>
          <w:sz w:val="22"/>
        </w:rPr>
        <w:t>(i)</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tabs>
          <w:tab w:val="clear" w:pos="720"/>
          <w:tab w:val="left" w:pos="1080" w:leader="none"/>
        </w:tabs>
        <w:bidi w:val="0"/>
        <w:spacing w:lineRule="exact" w:line="480" w:before="240" w:after="0"/>
        <w:jc w:val="both"/>
        <w:rPr>
          <w:rFonts w:ascii="Times New Roman" w:hAnsi="Times New Roman"/>
          <w:b/>
          <w:sz w:val="22"/>
        </w:rPr>
      </w:pPr>
      <w:r>
        <w:rPr>
          <w:rFonts w:ascii="Times New Roman" w:hAnsi="Times New Roman"/>
          <w:b/>
          <w:sz w:val="22"/>
        </w:rPr>
        <w:t>Part 2.</w:t>
        <w:tab/>
        <w:t>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B is a limited liability company organized under the laws of the State of Delaware.</w:t>
      </w:r>
      <w:r>
        <w:br w:type="page"/>
      </w:r>
    </w:p>
    <w:p>
      <w:pPr>
        <w:pStyle w:val="Heading4"/>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are:    United States Internal Revenue Service Form W-9.</w:t>
      </w:r>
    </w:p>
    <w:p>
      <w:pPr>
        <w:pStyle w:val="Normal"/>
        <w:bidi w:val="0"/>
        <w:spacing w:lineRule="exact" w:line="240" w:before="240" w:after="0"/>
        <w:jc w:val="both"/>
        <w:rPr>
          <w:rFonts w:ascii="Times New Roman" w:hAnsi="Times New Roman"/>
          <w:sz w:val="22"/>
        </w:rPr>
      </w:pP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tcBorders/>
            <w:vAlign w:val="bottom"/>
          </w:tcPr>
          <w:p>
            <w:pPr>
              <w:pStyle w:val="Normal"/>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tcBorders/>
            <w:vAlign w:val="bottom"/>
          </w:tcPr>
          <w:p>
            <w:pPr>
              <w:pStyle w:val="Normal"/>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Credit Support Documents specified in Part 4(d)</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 and as otherwise provided in Part 3(a) above</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and its Credit Support Provider, its constitutive documents verifying the power and authority to enter into this agreement and the transactions hereunder</w:t>
            </w:r>
          </w:p>
        </w:tc>
        <w:tc>
          <w:tcPr>
            <w:tcW w:w="2227"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tabs>
                <w:tab w:val="clear" w:pos="720"/>
              </w:tabs>
              <w:bidi w:val="0"/>
              <w:spacing w:lineRule="atLeast" w:line="240" w:before="240" w:after="0"/>
              <w:rPr/>
            </w:pPr>
            <w:r>
              <w:rPr>
                <w:rFonts w:ascii="Times New Roman" w:hAnsi="Times New Roman"/>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A, but in no event later than 150 days after the end of each fiscal year of Party B’s Credit Support Provider</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B’s Credit Support Provider</w:t>
            </w:r>
          </w:p>
        </w:tc>
        <w:tc>
          <w:tcPr>
            <w:tcW w:w="2227" w:type="dxa"/>
            <w:tcBorders/>
          </w:tcPr>
          <w:p>
            <w:pPr>
              <w:pStyle w:val="Normal"/>
              <w:tabs>
                <w:tab w:val="clear" w:pos="720"/>
              </w:tabs>
              <w:bidi w:val="0"/>
              <w:spacing w:lineRule="atLeast" w:line="240" w:before="240" w:after="0"/>
              <w:jc w:val="start"/>
              <w:rPr/>
            </w:pPr>
            <w:r>
              <w:rPr>
                <w:rFonts w:ascii="Times New Roman" w:hAnsi="Times New Roman"/>
                <w:sz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Justified"/>
              <w:tabs>
                <w:tab w:val="clear" w:pos="720"/>
              </w:tabs>
              <w:bidi w:val="0"/>
              <w:spacing w:lineRule="atLeast" w:line="240" w:before="240" w:after="0"/>
              <w:rPr/>
            </w:pPr>
            <w:r>
              <w:rPr>
                <w:rFonts w:ascii="Times New Roman" w:hAnsi="Times New Roman"/>
              </w:rPr>
              <w:t>Monthly account statements from Party B’s Credit Support Provider detailing, at a minimum, the Net Income of Party B’s Credit Support Provider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7"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later than 20 days after the end of each month</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Quark Power LLC</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Two American Lane</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Greenwich, Connecticut    06836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Jim Glynn</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No.:    (203) 861-3276</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(203) 861-3259</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(ii) Guaranty dated as of the date hereof by Amaranth LLC in favor of Party A as beneficiary thereof in the form attached hereto as </w:t>
      </w:r>
      <w:r>
        <w:rPr>
          <w:rFonts w:ascii="Times New Roman" w:hAnsi="Times New Roman"/>
          <w:sz w:val="22"/>
          <w:u w:val="single"/>
        </w:rPr>
        <w:t>Exhibit B</w:t>
      </w:r>
      <w:r>
        <w:rPr>
          <w:rFonts w:ascii="Times New Roman" w:hAnsi="Times New Roman"/>
          <w:sz w:val="22"/>
        </w:rPr>
        <w:t xml:space="preserve">, and (iii)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Amaranth LLC.</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xml:space="preserve">    </w:t>
      </w:r>
      <w:r>
        <w:rPr>
          <w:rFonts w:ascii="Times New Roman" w:hAnsi="Times New Roman"/>
          <w:strike/>
          <w:sz w:val="22"/>
        </w:rPr>
        <w:t>(i)</w:t>
      </w:r>
      <w:r>
        <w:rPr>
          <w:rFonts w:ascii="Times New Roman" w:hAnsi="Times New Roman"/>
          <w:sz w:val="22"/>
        </w:rPr>
        <w:t xml:space="preserve"> It constitutes an “eligible contract participant” as such term is defined in the Commodity Exchange Act, as amended 7 U.S.C. §1a(12) </w:t>
      </w:r>
      <w:r>
        <w:rPr>
          <w:rFonts w:ascii="Times New Roman" w:hAnsi="Times New Roman"/>
          <w:strike/>
          <w:sz w:val="22"/>
        </w:rPr>
        <w:t>and (ii) it constitutes an “eligible commercial entity” as such term is defined in the Commodity Exchange Act, as amended 7 U.S.C. §1a(11)</w:t>
      </w:r>
      <w:r>
        <w:rPr>
          <w:rFonts w:ascii="Times New Roman" w:hAnsi="Times New Roman"/>
          <w:sz w:val="22"/>
        </w:rPr>
        <w:t>.</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(c)    Party A and/or Party B may transfer its rights and obligations under this Agreement, in whole but not in part, to any Affiliate so long as the Affiliate is in the same country as the Party and the obligations of such Affiliate are guaranteed by Enron Corp., with respect to Party A, and Amaranth LLC, with respect to Party B, pursuant to a guaranty substantially similar to the one provided on behalf of Party A and Party B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(o)</w:t>
        <w:tab/>
      </w:r>
      <w:r>
        <w:rPr>
          <w:rFonts w:ascii="Times New Roman" w:hAnsi="Times New Roman"/>
          <w:b/>
          <w:sz w:val="22"/>
        </w:rPr>
        <w:t>Existing Transactions</w:t>
      </w:r>
      <w:r>
        <w:rPr>
          <w:rFonts w:ascii="Times New Roman" w:hAnsi="Times New Roman"/>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tabs>
          <w:tab w:val="clear" w:pos="1350"/>
        </w:tabs>
        <w:bidi w:val="0"/>
        <w:spacing w:lineRule="exact" w:line="240" w:before="240" w:after="0"/>
        <w:rPr>
          <w:rFonts w:ascii="Times New Roman" w:hAnsi="Times New Roman"/>
        </w:rPr>
      </w:pPr>
      <w:r>
        <w:rPr>
          <w:rFonts w:ascii="Times New Roman" w:hAnsi="Times New Roman"/>
        </w:rPr>
        <w:t>(p)</w:t>
        <w:tab/>
        <w:t>Additional Definitions.    Section 14 of the Agreement is herby amended by adding the following definitions:</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 xml:space="preserve">“Net Asset Value” </w:t>
      </w:r>
      <w:r>
        <w:rPr>
          <w:rFonts w:ascii="Times New Roman" w:hAnsi="Times New Roman"/>
          <w:sz w:val="22"/>
        </w:rPr>
        <w:t>has the meaning set forth in Section 3.6 of the Limited Liability Agreement of Amaranth LLC, dated August 21, 2000.</w:t>
      </w:r>
    </w:p>
    <w:p>
      <w:pPr>
        <w:pStyle w:val="BodyTextIndent"/>
        <w:bidi w:val="0"/>
        <w:spacing w:lineRule="atLeast" w:line="240"/>
        <w:rPr>
          <w:rFonts w:ascii="Times New Roman" w:hAnsi="Times New Roman"/>
        </w:rPr>
      </w:pPr>
      <w:r>
        <w:rPr>
          <w:rFonts w:ascii="Times New Roman" w:hAnsi="Times New Roman"/>
        </w:rPr>
        <w:t>(b)</w:t>
        <w:tab/>
      </w:r>
      <w:r>
        <w:rPr>
          <w:rFonts w:ascii="Times New Roman" w:hAnsi="Times New Roman"/>
          <w:b/>
        </w:rPr>
        <w:t xml:space="preserve">“Investment Policy” </w:t>
      </w:r>
      <w:r>
        <w:rPr>
          <w:rFonts w:ascii="Times New Roman" w:hAnsi="Times New Roman"/>
        </w:rPr>
        <w:t xml:space="preserve">means Party B’s investment objectives, restrictions and guidelines as set forth in Party B’s </w:t>
      </w:r>
      <w:r>
        <w:rPr>
          <w:rFonts w:ascii="Times New Roman" w:hAnsi="Times New Roman"/>
          <w:strike/>
        </w:rPr>
        <w:t>prospectus</w:t>
      </w:r>
      <w:r>
        <w:rPr>
          <w:rFonts w:ascii="Times New Roman" w:hAnsi="Times New Roman"/>
        </w:rPr>
        <w:t xml:space="preserve"> </w:t>
      </w:r>
      <w:r>
        <w:rPr>
          <w:rFonts w:ascii="Times New Roman" w:hAnsi="Times New Roman"/>
          <w:b/>
          <w:u w:val="single"/>
        </w:rPr>
        <w:t>Limited Liability Company Agreement entered into as of February 26, 1997</w:t>
      </w:r>
      <w:r>
        <w:rPr>
          <w:rFonts w:ascii="Times New Roman" w:hAnsi="Times New Roman"/>
        </w:rPr>
        <w:t>, which incorporates the use of derivative products, including swaps, options and other Transactions. [e.g., investment objectives, strategy].</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“Manager” </w:t>
      </w:r>
      <w:r>
        <w:rPr>
          <w:rFonts w:ascii="Times New Roman" w:hAnsi="Times New Roman"/>
          <w:sz w:val="22"/>
        </w:rPr>
        <w:t xml:space="preserve">means </w:t>
      </w:r>
      <w:r>
        <w:rPr>
          <w:rFonts w:ascii="Times New Roman" w:hAnsi="Times New Roman"/>
          <w:color w:val="000000"/>
          <w:sz w:val="22"/>
        </w:rPr>
        <w:t>Amaranth Partners LLC.</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 however</w:t>
      </w:r>
      <w:r>
        <w:rPr>
          <w:rFonts w:ascii="Times New Roman" w:hAnsi="Times New Roman"/>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bidi w:val="0"/>
        <w:ind w:firstLine="720"/>
        <w:jc w:val="both"/>
        <w:rPr>
          <w:rFonts w:ascii="Times New Roman" w:hAnsi="Times New Roman"/>
          <w:sz w:val="22"/>
        </w:rPr>
      </w:pPr>
      <w:r>
        <w:rPr>
          <w:rFonts w:ascii="Times New Roman" w:hAnsi="Times New Roman"/>
          <w:sz w:val="22"/>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Heading4"/>
              <w:tabs>
                <w:tab w:val="clear" w:pos="1080"/>
              </w:tabs>
              <w:bidi w:val="0"/>
              <w:spacing w:lineRule="exact" w:line="240" w:before="240" w:after="120"/>
              <w:rPr>
                <w:rFonts w:ascii="Times New Roman" w:hAnsi="Times New Roman"/>
                <w:caps/>
              </w:rPr>
            </w:pPr>
            <w:r>
              <w:rPr>
                <w:rFonts w:ascii="Times New Roman" w:hAnsi="Times New Roman"/>
                <w:caps/>
              </w:rPr>
              <w:t>Quark Power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B</w:t>
        <w:tab/>
        <w:t>FORM OF GUARANTY (PARTY B)</w:t>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2001</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Quark Power LLC</w:t>
            </w:r>
            <w:r>
              <w:rPr>
                <w:rFonts w:ascii="Times New Roman" w:hAnsi="Times New Roman"/>
                <w:b/>
                <w:sz w:val="22"/>
              </w:rPr>
              <w:t>, a limited liability company organized under the law of the State of Delaware (“Party B”)</w:t>
            </w:r>
          </w:p>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w:t>
      </w:r>
      <w:r>
        <w:rPr>
          <w:rFonts w:ascii="Times New Roman" w:hAnsi="Times New Roman"/>
          <w:color w:val="000000"/>
          <w:sz w:val="22"/>
        </w:rPr>
        <w:t>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$250,000 if there are any outstanding Transactions.</w:t>
      </w:r>
      <w:r>
        <w:rPr>
          <w:rFonts w:ascii="Times New Roman" w:hAnsi="Times New Roman"/>
        </w:rPr>
        <w:t xml:space="preserve">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 zero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10:00 a.m.,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[X]</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A is not a Defaulting Party and Party A’s Credit Support Provider has a Credit Rating from S&amp;P and the lowest Credit Rating for Party A’s Credit Support Provider is “BBB-” or higher by S&amp;P.</w:t>
      </w:r>
    </w:p>
    <w:p>
      <w:pPr>
        <w:pStyle w:val="BodyTextIndent"/>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if applicable,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B is not a Defaulting Party and a Material Adverse Change has not occurred with respect to Party B.</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if applicable,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within such Qualified Institution with the title of the Collateral Account indicating that the property contained therein is being held as Posted Collateral for the Downgraded Party; provided</w:t>
      </w:r>
      <w:r>
        <w:rPr>
          <w:rFonts w:ascii="Times New Roman" w:hAnsi="Times New Roman"/>
          <w:sz w:val="22"/>
          <w:u w:val="single"/>
        </w:rPr>
        <w:t>, that</w:t>
      </w:r>
      <w:r>
        <w:rPr>
          <w:rFonts w:ascii="Times New Roman" w:hAnsi="Times New Roman"/>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(a) with respect to Party A, its Credit Support Provider’s Credit Rating is below “BBB-” by S&amp;P or its Credit Support Provider fails to have a Credit Rating from S&amp;P and (b) with respect to Party B, an Additional Termination Event.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bidi w:val="0"/>
        <w:ind w:hanging="720" w:start="720"/>
        <w:jc w:val="both"/>
        <w:rPr>
          <w:rFonts w:ascii="Times New Roman" w:hAnsi="Times New Roman"/>
          <w:sz w:val="22"/>
        </w:rPr>
      </w:pPr>
      <w:r>
        <w:rPr>
          <w:rFonts w:ascii="Times New Roman" w:hAnsi="Times New Roman"/>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bidi w:val="0"/>
        <w:ind w:hanging="0" w:start="720"/>
        <w:jc w:val="both"/>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Quark Power LLC</w:t>
      </w:r>
      <w:r>
        <w:rPr>
          <w:rFonts w:ascii="Times New Roman" w:hAnsi="Times New Roman"/>
          <w:sz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Quark Power LLC</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sz w:val="22"/>
                <w:u w:val="single"/>
              </w:rPr>
            </w:pPr>
            <w:r>
              <w:rPr>
                <w:rFonts w:ascii="Times New Roman" w:hAnsi="Times New Roman"/>
                <w:sz w:val="22"/>
              </w:rPr>
              <w:t xml:space="preserve">Attn.:    </w:t>
            </w:r>
            <w:r>
              <w:rPr>
                <w:rFonts w:ascii="Times New Roman" w:hAnsi="Times New Roman"/>
                <w:sz w:val="22"/>
                <w:u w:val="single"/>
              </w:rPr>
              <w:tab/>
            </w:r>
          </w:p>
          <w:p>
            <w:pPr>
              <w:pStyle w:val="Normal"/>
              <w:keepNext w:val="true"/>
              <w:tabs>
                <w:tab w:val="clear" w:pos="720"/>
                <w:tab w:val="left" w:pos="3132" w:leader="none"/>
              </w:tabs>
              <w:bidi w:val="0"/>
              <w:spacing w:lineRule="atLeast" w:line="240"/>
              <w:jc w:val="start"/>
              <w:rPr>
                <w:rFonts w:ascii="Times New Roman" w:hAnsi="Times New Roman"/>
                <w:sz w:val="22"/>
              </w:rPr>
            </w:pPr>
            <w:r>
              <w:rPr>
                <w:rFonts w:ascii="Times New Roman" w:hAnsi="Times New Roman"/>
                <w:sz w:val="22"/>
              </w:rPr>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Fax No.:    </w:t>
            </w: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1080" w:footer="720" w:bottom="777"/>
          <w:pgNumType w:start="1" w:fmt="decimal"/>
          <w:formProt w:val="false"/>
          <w:textDirection w:val="lrTb"/>
          <w:docGrid w:type="default" w:linePitch="100" w:charSpace="4294959103"/>
        </w:sectPr>
        <w:pStyle w:val="Normal"/>
        <w:bidi w:val="0"/>
        <w:jc w:val="start"/>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b/>
          <w:sz w:val="22"/>
        </w:rPr>
      </w:pPr>
      <w:r>
        <w:rPr>
          <w:rFonts w:ascii="Times New Roman" w:hAnsi="Times New Roman"/>
          <w:b/>
          <w:sz w:val="22"/>
          <w:u w:val="single"/>
        </w:rPr>
        <w:t>EXHIBIT B</w:t>
      </w:r>
    </w:p>
    <w:p>
      <w:pPr>
        <w:pStyle w:val="Normal"/>
        <w:bidi w:val="0"/>
        <w:spacing w:lineRule="exact" w:line="240"/>
        <w:ind w:end="720"/>
        <w:jc w:val="center"/>
        <w:rPr>
          <w:rFonts w:ascii="Times New Roman" w:hAnsi="Times New Roman"/>
          <w:b/>
          <w:sz w:val="22"/>
        </w:rPr>
      </w:pPr>
      <w:r>
        <w:rPr>
          <w:rFonts w:ascii="Times New Roman" w:hAnsi="Times New Roman"/>
          <w:b/>
          <w:sz w:val="22"/>
        </w:rPr>
      </w:r>
    </w:p>
    <w:p>
      <w:pPr>
        <w:pStyle w:val="Normal"/>
        <w:bidi w:val="0"/>
        <w:spacing w:lineRule="exact" w:line="240"/>
        <w:ind w:end="720"/>
        <w:jc w:val="center"/>
        <w:rPr>
          <w:rFonts w:ascii="Times New Roman" w:hAnsi="Times New Roman"/>
          <w:b/>
          <w:sz w:val="22"/>
        </w:rPr>
      </w:pPr>
      <w:r>
        <w:rPr>
          <w:rFonts w:ascii="Times New Roman" w:hAnsi="Times New Roman"/>
          <w:b/>
          <w:sz w:val="22"/>
        </w:rPr>
        <w:t>AMARANTH LLC</w:t>
      </w:r>
    </w:p>
    <w:p>
      <w:pPr>
        <w:pStyle w:val="Normal"/>
        <w:bidi w:val="0"/>
        <w:ind w:end="720"/>
        <w:jc w:val="center"/>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sz w:val="22"/>
        </w:rPr>
      </w:pPr>
      <w:r>
        <w:rPr>
          <w:rFonts w:ascii="Times New Roman" w:hAnsi="Times New Roman"/>
          <w:sz w:val="22"/>
          <w:u w:val="single"/>
        </w:rPr>
        <w:t>Guaranty</w:t>
      </w:r>
    </w:p>
    <w:p>
      <w:pPr>
        <w:pStyle w:val="Normal"/>
        <w:bidi w:val="0"/>
        <w:ind w:end="720"/>
        <w:jc w:val="both"/>
        <w:rPr>
          <w:rFonts w:ascii="Times New Roman" w:hAnsi="Times New Roman"/>
          <w:sz w:val="22"/>
        </w:rPr>
      </w:pPr>
      <w:r>
        <w:rPr>
          <w:rFonts w:ascii="Times New Roman" w:hAnsi="Times New Roman"/>
          <w:sz w:val="22"/>
        </w:rPr>
      </w:r>
    </w:p>
    <w:p>
      <w:pPr>
        <w:pStyle w:val="Normal"/>
        <w:bidi w:val="0"/>
        <w:ind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tab/>
      </w:r>
      <w:r>
        <w:rPr>
          <w:rFonts w:ascii="Times New Roman" w:hAnsi="Times New Roman"/>
          <w:sz w:val="22"/>
        </w:rPr>
        <w:t xml:space="preserve">, 2000, is made and entered into by AMARANTH LLC, a </w:t>
      </w:r>
      <w:r>
        <w:rPr>
          <w:rFonts w:ascii="Times New Roman" w:hAnsi="Times New Roman"/>
          <w:sz w:val="22"/>
          <w:u w:val="single"/>
        </w:rPr>
        <w:tab/>
        <w:tab/>
      </w:r>
      <w:r>
        <w:rPr>
          <w:rFonts w:ascii="Times New Roman" w:hAnsi="Times New Roman"/>
          <w:sz w:val="22"/>
        </w:rPr>
        <w:t xml:space="preserve"> corporation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keepNext w:val="true"/>
        <w:bidi w:val="0"/>
        <w:spacing w:lineRule="atLeast" w:line="24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Quark Power LLC</w:t>
      </w:r>
      <w:r>
        <w:rPr>
          <w:rFonts w:ascii="Times New Roman" w:hAnsi="Times New Roman"/>
          <w:sz w:val="22"/>
        </w:rPr>
        <w:t xml:space="preserve">, a wholly owned subsidiary of Guarantor (“Counterparty”), and </w:t>
      </w:r>
      <w:r>
        <w:rPr>
          <w:rFonts w:ascii="Times New Roman" w:hAnsi="Times New Roman"/>
          <w:caps/>
          <w:sz w:val="22"/>
        </w:rPr>
        <w:t>Enron NORTH AMERICA Corp.</w:t>
      </w:r>
      <w:r>
        <w:rPr>
          <w:rFonts w:ascii="Times New Roman" w:hAnsi="Times New Roman"/>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Enron entering into the Contract, Guarantor hereby covenants and agrees as follows:</w:t>
      </w:r>
    </w:p>
    <w:p>
      <w:pPr>
        <w:pStyle w:val="Normal"/>
        <w:tabs>
          <w:tab w:val="clear" w:pos="720"/>
          <w:tab w:val="left" w:pos="1905" w:leader="none"/>
        </w:tabs>
        <w:bidi w:val="0"/>
        <w:spacing w:lineRule="exact" w:line="240" w:before="240" w:after="0"/>
        <w:ind w:firstLine="720"/>
        <w:jc w:val="both"/>
        <w:rPr>
          <w:rFonts w:ascii="Times New Roman" w:hAnsi="Times New Roman"/>
          <w:sz w:val="22"/>
        </w:rPr>
      </w:pPr>
      <w:r>
        <w:rPr>
          <w:rFonts w:ascii="Times New Roman" w:hAnsi="Times New Roman"/>
          <w:sz w:val="22"/>
        </w:rPr>
        <w:t>1.</w:t>
        <w:tab/>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Indent3"/>
        <w:tabs>
          <w:tab w:val="clear" w:pos="720"/>
          <w:tab w:val="left" w:pos="2160" w:leader="none"/>
        </w:tabs>
        <w:bidi w:val="0"/>
        <w:spacing w:lineRule="exact" w:line="240" w:before="240" w:after="0"/>
        <w:rPr>
          <w:rFonts w:ascii="Times New Roman" w:hAnsi="Times New Roman"/>
        </w:rPr>
      </w:pPr>
      <w:r>
        <w:rPr>
          <w:rFonts w:ascii="Times New Roman" w:hAnsi="Times New Roman"/>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w:t>
        <w:tab/>
        <w:t>The aggregate amount covered by this Guaranty shall not exceed U.S. $10,000,000.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BodyTextIndent"/>
        <w:bidi w:val="0"/>
        <w:spacing w:lineRule="exact" w:line="240"/>
        <w:rPr>
          <w:rFonts w:ascii="Times New Roman" w:hAnsi="Times New Roman"/>
        </w:rPr>
      </w:pPr>
      <w:r>
        <w:rPr>
          <w:rFonts w:ascii="Times New Roman" w:hAnsi="Times New Roman"/>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bidi w:val="0"/>
        <w:spacing w:lineRule="exact" w:line="240" w:before="240" w:after="0"/>
        <w:ind w:hanging="0" w:start="720"/>
        <w:rPr>
          <w:rFonts w:ascii="Times New Roman" w:hAnsi="Times New Roman"/>
        </w:rPr>
      </w:pPr>
      <w:r>
        <w:rPr>
          <w:rFonts w:ascii="Times New Roman" w:hAnsi="Times New Roman"/>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bidi w:val="0"/>
        <w:spacing w:lineRule="atLeast" w:line="240"/>
        <w:ind w:hanging="0" w:start="1440"/>
        <w:jc w:val="both"/>
        <w:rPr>
          <w:rFonts w:ascii="Times New Roman" w:hAnsi="Times New Roman"/>
          <w:sz w:val="22"/>
        </w:rPr>
      </w:pPr>
      <w:r>
        <w:rPr>
          <w:rFonts w:ascii="Times New Roman" w:hAnsi="Times New Roman"/>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tabs>
                <w:tab w:val="clear" w:pos="720"/>
              </w:tabs>
              <w:bidi w:val="0"/>
              <w:spacing w:lineRule="atLeast" w:line="240"/>
              <w:jc w:val="start"/>
              <w:rPr/>
            </w:pPr>
            <w:r>
              <w:rPr>
                <w:rFonts w:ascii="Times New Roman" w:hAnsi="Times New Roman"/>
                <w:sz w:val="22"/>
              </w:rPr>
              <w:t>To Enron:</w:t>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 xml:space="preserve">Enron North America Corp. </w:t>
            </w:r>
          </w:p>
        </w:tc>
        <w:tc>
          <w:tcPr>
            <w:tcW w:w="1621"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149" w:type="dxa"/>
            <w:tcBorders/>
          </w:tcPr>
          <w:p>
            <w:pPr>
              <w:pStyle w:val="Header"/>
              <w:keepNext w:val="true"/>
              <w:tabs>
                <w:tab w:val="clear" w:pos="4320"/>
                <w:tab w:val="clear" w:pos="8640"/>
                <w:tab w:val="right" w:pos="2988" w:leader="none"/>
              </w:tabs>
              <w:bidi w:val="0"/>
              <w:spacing w:lineRule="atLeast" w:line="240"/>
              <w:jc w:val="start"/>
              <w:rPr>
                <w:rFonts w:ascii="Times New Roman" w:hAnsi="Times New Roman"/>
              </w:rPr>
            </w:pPr>
            <w:r>
              <w:rPr>
                <w:rFonts w:ascii="Times New Roman" w:hAnsi="Times New Roman"/>
              </w:rPr>
              <w:t>Amaranth LLC</w:t>
            </w:r>
          </w:p>
          <w:p>
            <w:pPr>
              <w:pStyle w:val="Normal"/>
              <w:keepNext w:val="true"/>
              <w:tabs>
                <w:tab w:val="clear" w:pos="720"/>
                <w:tab w:val="right" w:pos="2988" w:leader="none"/>
              </w:tabs>
              <w:bidi w:val="0"/>
              <w:spacing w:lineRule="atLeast" w:line="240"/>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1400 Smith Street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ind w:end="72"/>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Houston, Texas    77002</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Attn.:    Director, Documentation Department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Fax No.:    (713) 646-4816</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r>
    </w:p>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3600"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8.</w:t>
        <w:tab/>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sz w:val="22"/>
          <w:u w:val="single"/>
        </w:rPr>
        <w:tab/>
        <w:tab/>
      </w:r>
      <w:r>
        <w:rPr>
          <w:rFonts w:ascii="Times New Roman" w:hAnsi="Times New Roman"/>
          <w:sz w:val="22"/>
        </w:rPr>
        <w:t>, 2000, but it is effective as of the date first above written.</w:t>
      </w:r>
    </w:p>
    <w:p>
      <w:pPr>
        <w:pStyle w:val="Normal"/>
        <w:bidi w:val="0"/>
        <w:spacing w:lineRule="atLeast" w:line="240"/>
        <w:jc w:val="both"/>
        <w:rPr>
          <w:rFonts w:ascii="Times New Roman" w:hAnsi="Times New Roman"/>
          <w:b/>
          <w:sz w:val="22"/>
        </w:rPr>
      </w:pPr>
      <w:r>
        <w:rPr>
          <w:rFonts w:ascii="Times New Roman" w:hAnsi="Times New Roman"/>
          <w:b/>
          <w:sz w:val="22"/>
        </w:rPr>
      </w:r>
    </w:p>
    <w:p>
      <w:pPr>
        <w:pStyle w:val="Normal"/>
        <w:bidi w:val="0"/>
        <w:spacing w:lineRule="exact" w:line="240"/>
        <w:ind w:hanging="0" w:start="5040"/>
        <w:jc w:val="both"/>
        <w:rPr>
          <w:rFonts w:ascii="Times New Roman" w:hAnsi="Times New Roman"/>
          <w:sz w:val="22"/>
        </w:rPr>
      </w:pPr>
      <w:r>
        <w:rPr>
          <w:rFonts w:ascii="Times New Roman" w:hAnsi="Times New Roman"/>
          <w:b/>
          <w:sz w:val="22"/>
        </w:rPr>
        <w:t>AMARANTH LLC</w:t>
      </w:r>
    </w:p>
    <w:p>
      <w:pPr>
        <w:pStyle w:val="Normal"/>
        <w:bidi w:val="0"/>
        <w:spacing w:lineRule="exac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0"/>
        </w:rPr>
      </w:pPr>
      <w:r>
        <w:rPr>
          <w:rFonts w:ascii="Times New Roman" w:hAnsi="Times New Roman"/>
          <w:sz w:val="20"/>
        </w:rPr>
      </w:r>
    </w:p>
    <w:p>
      <w:pPr>
        <w:pStyle w:val="Normal"/>
        <w:keepLines/>
        <w:bidi w:val="0"/>
        <w:spacing w:lineRule="exact" w:line="240"/>
        <w:jc w:val="center"/>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sectPr>
      <w:headerReference w:type="default" r:id="rId17"/>
      <w:headerReference w:type="first" r:id="rId18"/>
      <w:footerReference w:type="default" r:id="rId19"/>
      <w:footerReference w:type="first" r:id="rId20"/>
      <w:type w:val="nextPage"/>
      <w:pgSz w:w="12240" w:h="15840"/>
      <w:pgMar w:left="1440" w:right="1440" w:gutter="0" w:header="720" w:top="1080"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/mnt/main-storage/datasets/enron-docs/doc/061FCTR__QUARK_POWER_LLC___HEDGE_FUND_.RED.DOC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/mnt/main-storage/datasets/enron-docs/doc/061FCTR__QUARK_POWER_LLC___HEDGE_FUND_.RED.DOC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13</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13</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/mnt/main-storage/datasets/enron-docs/doc/061FCTR__QUARK_POWER_LLC___HEDGE_FUND_.RED.DOC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13</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13</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/mnt/main-storage/datasets/enron-docs/doc/061FCTR__QUARK_POWER_LLC___HEDGE_FUND_.RED.DOC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6</w:t>
    </w:r>
    <w:r>
      <w:rP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/mnt/main-storage/datasets/enron-docs/doc/061FCTR__QUARK_POWER_LLC___HEDGE_FUND_.RED.DOC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6</w:t>
    </w:r>
    <w:r>
      <w:rP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/mnt/main-storage/datasets/enron-docs/doc/061FCTR__QUARK_POWER_LLC___HEDGE_FUND_.RED.DOC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/mnt/main-storage/datasets/enron-docs/doc/061FCTR__QUARK_POWER_LLC___HEDGE_FUND_.RED.DOC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9369</Words>
  <CharactersWithSpaces>53407</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2001-06-29T16:47:00Z</dcterms:created>
  <dc:creator>mheard</dc:creator>
  <dc:description/>
  <dc:language>en-CA</dc:language>
  <cp:lastModifiedBy/>
  <cp:lastPrinted>2001-07-02T09:53:00Z</cp:lastPrinted>
  <dcterms:modified xsi:type="dcterms:W3CDTF">2001-07-03T10:46:00Z</dcterms:modified>
  <cp:revision>6</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