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DRAFT OF 06/27/2001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QUARK POWER LLC, a limited liability company organized under the law of the State of Delaware (“Party B”)</w:t>
            </w:r>
          </w:p>
          <w:p>
            <w:pPr>
              <w:pStyle w:val="Normal"/>
              <w:tabs>
                <w:tab w:val="clear" w:pos="720"/>
                <w:tab w:val="center" w:pos="5760" w:leader="none"/>
              </w:tabs>
              <w:spacing w:before="240" w:after="0"/>
              <w:jc w:val="center"/>
              <w:rPr>
                <w:b/>
                <w:bCs/>
                <w:sz w:val="22"/>
                <w:szCs w:val="22"/>
              </w:rPr>
            </w:pPr>
            <w:r>
              <w:rPr>
                <w:b/>
                <w:bCs/>
                <w:sz w:val="22"/>
                <w:szCs w:val="22"/>
              </w:rPr>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$10,000,000 (or its equivalent in another currency); and with respect to Party B’s Credit Support Provider, U.S. $10,000,000 (or its equivalent in another currency);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sz w:val="22"/>
          <w:szCs w:val="22"/>
        </w:rPr>
      </w:pPr>
      <w:r>
        <w:rPr>
          <w:sz w:val="22"/>
          <w:szCs w:val="22"/>
        </w:rPr>
        <w:t>(e)</w:t>
        <w:tab/>
      </w:r>
      <w:r>
        <w:rPr>
          <w:b/>
          <w:bCs/>
          <w:sz w:val="22"/>
          <w:szCs w:val="22"/>
        </w:rPr>
        <w:t>Payments on Early Termination.</w:t>
      </w:r>
      <w:r>
        <w:rPr>
          <w:sz w:val="22"/>
          <w:szCs w:val="22"/>
        </w:rPr>
        <w:t xml:space="preserve">  For the purpose of Section 6(e):  (i) </w:t>
      </w:r>
      <w:r>
        <w:rPr>
          <w:sz w:val="22"/>
        </w:rPr>
        <w:t>Market Quotation will apply to any Transaction with a Termination Date two years or less from the Early Termination Date, Loss will apply to any other Transaction,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(h)</w:t>
        <w:tab/>
      </w:r>
      <w:r>
        <w:rPr>
          <w:b/>
          <w:bCs/>
          <w:sz w:val="22"/>
          <w:szCs w:val="22"/>
        </w:rPr>
        <w:t>Additional Termination Event</w:t>
      </w:r>
      <w:r>
        <w:rPr>
          <w:sz w:val="22"/>
          <w:szCs w:val="22"/>
        </w:rPr>
        <w:t xml:space="preserve"> will apply.  The following will each constitute an Additional Termination Event with respect to Party B:</w:t>
      </w:r>
    </w:p>
    <w:p>
      <w:pPr>
        <w:pStyle w:val="Normal"/>
        <w:spacing w:lineRule="atLeast" w:line="240"/>
        <w:ind w:firstLine="720" w:end="0"/>
        <w:jc w:val="both"/>
        <w:rPr>
          <w:sz w:val="22"/>
          <w:szCs w:val="22"/>
        </w:rPr>
      </w:pPr>
      <w:r>
        <w:rPr>
          <w:sz w:val="22"/>
          <w:szCs w:val="22"/>
        </w:rPr>
      </w:r>
    </w:p>
    <w:p>
      <w:pPr>
        <w:pStyle w:val="Normal"/>
        <w:numPr>
          <w:ilvl w:val="0"/>
          <w:numId w:val="3"/>
        </w:numPr>
        <w:ind w:hanging="540" w:start="1440" w:end="0"/>
        <w:jc w:val="both"/>
        <w:rPr>
          <w:sz w:val="22"/>
          <w:szCs w:val="22"/>
        </w:rPr>
      </w:pPr>
      <w:r>
        <w:rPr>
          <w:sz w:val="22"/>
          <w:szCs w:val="22"/>
        </w:rPr>
        <w:t>If in any twelve (12) month period the Net Asset Value of Party B’ Credit Support Provider declines by more than 50 %.</w:t>
      </w:r>
    </w:p>
    <w:p>
      <w:pPr>
        <w:pStyle w:val="Normal"/>
        <w:numPr>
          <w:ilvl w:val="0"/>
          <w:numId w:val="3"/>
        </w:numPr>
        <w:spacing w:before="120" w:after="0"/>
        <w:ind w:hanging="540" w:start="1440" w:end="0"/>
        <w:jc w:val="both"/>
        <w:rPr>
          <w:sz w:val="22"/>
          <w:szCs w:val="22"/>
        </w:rPr>
      </w:pPr>
      <w:r>
        <w:rPr>
          <w:sz w:val="22"/>
          <w:szCs w:val="22"/>
        </w:rPr>
        <w:t>If its Credit Support Provider’s Net Asset Value falls below U.S. $100,000,000.</w:t>
      </w:r>
    </w:p>
    <w:p>
      <w:pPr>
        <w:pStyle w:val="Normal"/>
        <w:numPr>
          <w:ilvl w:val="0"/>
          <w:numId w:val="3"/>
        </w:numPr>
        <w:spacing w:before="120" w:after="0"/>
        <w:ind w:hanging="540" w:start="1440" w:end="0"/>
        <w:jc w:val="both"/>
        <w:rPr>
          <w:sz w:val="22"/>
          <w:szCs w:val="22"/>
        </w:rPr>
      </w:pPr>
      <w:r>
        <w:rPr>
          <w:color w:val="000000"/>
          <w:sz w:val="22"/>
        </w:rPr>
        <w:t>The Manager of Party B’s Credit Support Provider is not an entity controlled by one or both of Nicholas Maounis and Donald Sussman, or another entity that is acceptable to Party A.</w:t>
      </w:r>
    </w:p>
    <w:p>
      <w:pPr>
        <w:pStyle w:val="Normal"/>
        <w:numPr>
          <w:ilvl w:val="0"/>
          <w:numId w:val="3"/>
        </w:numPr>
        <w:spacing w:before="120" w:after="0"/>
        <w:ind w:hanging="540" w:start="1440" w:end="0"/>
        <w:jc w:val="both"/>
        <w:rPr>
          <w:sz w:val="22"/>
          <w:szCs w:val="22"/>
        </w:rPr>
      </w:pPr>
      <w:r>
        <w:rPr>
          <w:color w:val="000000"/>
          <w:sz w:val="22"/>
        </w:rPr>
        <w:t>If Party B ceases to be controlled by Party B's Credit Support Provider.</w:t>
      </w:r>
    </w:p>
    <w:p>
      <w:pPr>
        <w:pStyle w:val="Normal"/>
        <w:spacing w:lineRule="exact" w:line="240" w:before="240" w:after="0"/>
        <w:ind w:firstLine="720" w:end="0"/>
        <w:jc w:val="both"/>
        <w:rPr/>
      </w:pPr>
      <w:r>
        <w:rPr>
          <w:sz w:val="22"/>
          <w:szCs w:val="22"/>
        </w:rPr>
        <w:t>(i)</w:t>
      </w:r>
      <w:r>
        <w:rPr>
          <w:b/>
          <w:bCs/>
          <w:sz w:val="22"/>
          <w:szCs w:val="22"/>
        </w:rPr>
        <w:tab/>
        <w:t>“Contractual Currency”</w:t>
      </w:r>
      <w:r>
        <w:rPr>
          <w:sz w:val="22"/>
          <w:szCs w:val="22"/>
        </w:rPr>
        <w:t xml:space="preserve"> unless otherwise specified in a Confirmation, shall mean United States Dollars.</w:t>
      </w:r>
    </w:p>
    <w:p>
      <w:pPr>
        <w:pStyle w:val="Normal"/>
        <w:tabs>
          <w:tab w:val="clear" w:pos="720"/>
          <w:tab w:val="left" w:pos="1080" w:leader="none"/>
        </w:tabs>
        <w:spacing w:lineRule="exact" w:line="480" w:before="240" w:after="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900" w:end="0"/>
        <w:jc w:val="both"/>
        <w:rPr>
          <w:sz w:val="22"/>
          <w:szCs w:val="22"/>
        </w:rPr>
      </w:pPr>
      <w:r>
        <w:rPr>
          <w:sz w:val="22"/>
          <w:szCs w:val="22"/>
        </w:rPr>
        <w:t>Party B is a limited liability company organized under the laws of the State of Delaware.</w:t>
      </w:r>
      <w:r>
        <w:br w:type="page"/>
      </w:r>
    </w:p>
    <w:p>
      <w:pPr>
        <w:pStyle w:val="Heading4"/>
        <w:spacing w:before="240" w:after="0"/>
        <w:ind w:hanging="0" w:start="0"/>
        <w:rPr/>
      </w:pPr>
      <w:r>
        <w:rPr/>
        <w:t>Part 3.</w:t>
        <w:tab/>
        <w:t>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spacing w:lineRule="exact" w:line="240" w:before="240" w:after="0"/>
        <w:jc w:val="both"/>
        <w:rPr>
          <w:sz w:val="22"/>
          <w:szCs w:val="22"/>
        </w:rPr>
      </w:pPr>
      <w:r>
        <w:rPr>
          <w:sz w:val="22"/>
          <w:szCs w:val="22"/>
        </w:rPr>
        <w:t>(a)</w:t>
        <w:tab/>
        <w:t>Tax forms, documents, or certificates to be delivered are:  United States Internal Revenue Service Form W</w:t>
        <w:noBreakHyphen/>
        <w:t>9.</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Documents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and its Credit Support Provider, its constitutive documents verifying the power and authority to enter into this agreement and the transactions hereunder</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150 days after the end of each fiscal year of Party B’s Credit Support Provider</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B’s Credit Support Provider</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B’s Credit Support Provider</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Monthly account statements from Party B’s Credit Support Provider detailing, at a minimum, the Net Income of Party B’s Credit Support Provider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later than 20 days after the end of each month</w:t>
            </w:r>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spacing w:lineRule="exact" w:line="240" w:before="480" w:after="0"/>
        <w:jc w:val="both"/>
        <w:rPr>
          <w:b/>
          <w:bCs/>
          <w:sz w:val="22"/>
          <w:szCs w:val="22"/>
        </w:rPr>
      </w:pPr>
      <w:r>
        <w:rPr>
          <w:b/>
          <w:bCs/>
          <w:sz w:val="22"/>
          <w:szCs w:val="22"/>
        </w:rPr>
        <w:t>Part 4.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szCs w:val="22"/>
        </w:rPr>
      </w:pPr>
      <w:r>
        <w:rPr>
          <w:sz w:val="22"/>
          <w:szCs w:val="22"/>
        </w:rPr>
        <w:t>Address for notices or communications to Party A:</w:t>
      </w:r>
    </w:p>
    <w:p>
      <w:pPr>
        <w:pStyle w:val="Normal"/>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tabs>
                <w:tab w:val="clear" w:pos="720"/>
                <w:tab w:val="left" w:pos="4230" w:leader="none"/>
                <w:tab w:val="left" w:pos="9360" w:leader="none"/>
              </w:tabs>
              <w:spacing w:lineRule="exact" w:line="240"/>
              <w:jc w:val="both"/>
              <w:rPr>
                <w:sz w:val="22"/>
                <w:szCs w:val="22"/>
              </w:rPr>
            </w:pPr>
            <w:r>
              <w:rPr>
                <w:sz w:val="22"/>
                <w:szCs w:val="22"/>
              </w:rPr>
              <w:t>P.O. Box 4428</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Quark Power LLC</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Two American Lane</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Greenwich, Connecticut  06836</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Jim Glynn</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Facsimile No.:  (203) 861-3276</w:t>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Telephone No.:  (203) 861-3259</w:t>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(ii) Guaranty dated as of the date hereof by Amaranth LLC in favor of Party A as beneficiary thereof in the form attached hereto as </w:t>
      </w:r>
      <w:r>
        <w:rPr>
          <w:sz w:val="22"/>
          <w:szCs w:val="22"/>
          <w:u w:val="single"/>
        </w:rPr>
        <w:t>Exhibit B</w:t>
      </w:r>
      <w:r>
        <w:rPr>
          <w:sz w:val="22"/>
          <w:szCs w:val="22"/>
        </w:rPr>
        <w:t xml:space="preserve">, and (iii)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Amaranth LLC.</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start="720" w:end="0"/>
        <w:jc w:val="both"/>
        <w:rPr/>
      </w:pPr>
      <w:r>
        <w:rPr>
          <w:sz w:val="22"/>
          <w:szCs w:val="22"/>
        </w:rPr>
        <w:t>(c)</w:t>
        <w:tab/>
      </w:r>
      <w:r>
        <w:rPr>
          <w:b/>
          <w:bCs/>
          <w:sz w:val="22"/>
          <w:szCs w:val="22"/>
        </w:rPr>
        <w:t>Additional Representations of Party B.</w:t>
      </w:r>
      <w:r>
        <w:rPr>
          <w:sz w:val="22"/>
          <w:szCs w:val="22"/>
        </w:rPr>
        <w:t xml:space="preserve">  For the purpose of Section 3 of the Agreement, </w:t>
      </w:r>
    </w:p>
    <w:p>
      <w:pPr>
        <w:pStyle w:val="Normal"/>
        <w:jc w:val="both"/>
        <w:rPr>
          <w:sz w:val="22"/>
          <w:szCs w:val="22"/>
        </w:rPr>
      </w:pPr>
      <w:r>
        <w:rPr>
          <w:sz w:val="22"/>
          <w:szCs w:val="22"/>
        </w:rPr>
        <w:t>Party B further represents and warrants to Party A (which representations will be deemed repeated by Party B at all times until the termination of this Agreement and any Transactions) that:</w:t>
      </w:r>
    </w:p>
    <w:p>
      <w:pPr>
        <w:pStyle w:val="Normal"/>
        <w:jc w:val="both"/>
        <w:rPr>
          <w:sz w:val="22"/>
          <w:szCs w:val="22"/>
        </w:rPr>
      </w:pPr>
      <w:r>
        <w:rPr>
          <w:sz w:val="22"/>
          <w:szCs w:val="22"/>
        </w:rPr>
      </w:r>
    </w:p>
    <w:p>
      <w:pPr>
        <w:pStyle w:val="Normal"/>
        <w:numPr>
          <w:ilvl w:val="0"/>
          <w:numId w:val="4"/>
        </w:numPr>
        <w:jc w:val="both"/>
        <w:rPr>
          <w:sz w:val="22"/>
          <w:szCs w:val="22"/>
        </w:rPr>
      </w:pPr>
      <w:r>
        <w:rPr>
          <w:sz w:val="22"/>
          <w:szCs w:val="22"/>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sz w:val="22"/>
          <w:szCs w:val="22"/>
        </w:rPr>
      </w:pPr>
      <w:r>
        <w:rPr>
          <w:sz w:val="22"/>
          <w:szCs w:val="22"/>
        </w:rPr>
      </w:r>
    </w:p>
    <w:p>
      <w:pPr>
        <w:pStyle w:val="Normal"/>
        <w:ind w:hanging="720" w:start="1440" w:end="0"/>
        <w:jc w:val="both"/>
        <w:rPr>
          <w:sz w:val="22"/>
          <w:szCs w:val="22"/>
        </w:rPr>
      </w:pPr>
      <w:r>
        <w:rPr>
          <w:sz w:val="22"/>
          <w:szCs w:val="22"/>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spacing w:lineRule="exact" w:line="240" w:before="240" w:after="0"/>
        <w:ind w:firstLine="720" w:end="0"/>
        <w:jc w:val="both"/>
        <w:rPr/>
      </w:pPr>
      <w:r>
        <w:rPr>
          <w:sz w:val="22"/>
          <w:szCs w:val="22"/>
        </w:rPr>
        <w:t>(d)</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(e)</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(f)</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five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(g)</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(h)</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sz w:val="22"/>
          <w:szCs w:val="22"/>
        </w:rPr>
      </w:pPr>
      <w:r>
        <w:rPr>
          <w:b/>
          <w:bCs/>
          <w:sz w:val="22"/>
          <w:szCs w:val="22"/>
        </w:rPr>
        <w:t>(i)</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sz w:val="22"/>
          <w:szCs w:val="22"/>
        </w:rPr>
        <w:t>(j)</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sz w:val="22"/>
          <w:szCs w:val="22"/>
        </w:rPr>
        <w:t>(k)</w:t>
        <w:tab/>
      </w:r>
      <w:r>
        <w:rPr>
          <w:b/>
          <w:bCs/>
          <w:sz w:val="22"/>
          <w:szCs w:val="22"/>
        </w:rPr>
        <w:t>Transfer.</w:t>
      </w:r>
      <w:r>
        <w:rPr>
          <w:sz w:val="22"/>
          <w:szCs w:val="22"/>
        </w:rPr>
        <w:t xml:space="preserve">  Section 7 is hereby amended by adding the following Subsection (c):</w:t>
      </w:r>
    </w:p>
    <w:p>
      <w:pPr>
        <w:pStyle w:val="Normal"/>
        <w:spacing w:lineRule="exact" w:line="240"/>
        <w:ind w:firstLine="630" w:end="0"/>
        <w:jc w:val="both"/>
        <w:rPr>
          <w:sz w:val="22"/>
          <w:szCs w:val="22"/>
        </w:rPr>
      </w:pPr>
      <w:r>
        <w:rPr>
          <w:sz w:val="22"/>
          <w:szCs w:val="22"/>
        </w:rPr>
      </w:r>
    </w:p>
    <w:p>
      <w:pPr>
        <w:pStyle w:val="BodyTextIndent3"/>
        <w:widowControl/>
        <w:rPr/>
      </w:pPr>
      <w:r>
        <w:rPr/>
        <w:t>“</w:t>
      </w:r>
      <w:r>
        <w:rPr/>
        <w:t>(c)  Party A and/or Party B may transfer its rights and obligations under this Agreement, in whole but not in part, to any Affiliate so long as the Affiliate is in the same country as the Party and the obligations of such Affiliate are guaranteed by Enron Corp., with respect to Party A, and Amaranth LLC, with respect to Party B, pursuant to a guaranty substantially similar to the one provided on behalf of Party A and Party B hereunder, provided that such transfer will not give rise to a Termination Event or an Event of Default.”</w:t>
      </w:r>
    </w:p>
    <w:p>
      <w:pPr>
        <w:pStyle w:val="Normal"/>
        <w:spacing w:lineRule="exact" w:line="240" w:before="240" w:after="0"/>
        <w:ind w:firstLine="720" w:end="0"/>
        <w:jc w:val="both"/>
        <w:rPr/>
      </w:pPr>
      <w:r>
        <w:rPr>
          <w:sz w:val="22"/>
          <w:szCs w:val="22"/>
        </w:rPr>
        <w:t>(l)</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(m)</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(n)</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pPr>
      <w:r>
        <w:rPr>
          <w:sz w:val="22"/>
          <w:szCs w:val="22"/>
        </w:rPr>
        <w:t>(o)</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BodyTextIndent2"/>
        <w:widowControl/>
        <w:tabs>
          <w:tab w:val="clear" w:pos="1350"/>
        </w:tabs>
        <w:spacing w:lineRule="exact" w:line="240" w:before="240" w:after="0"/>
        <w:rPr>
          <w:rFonts w:ascii="Times New Roman" w:hAnsi="Times New Roman" w:cs="Times New Roman"/>
        </w:rPr>
      </w:pPr>
      <w:r>
        <w:rPr>
          <w:rFonts w:cs="Times New Roman" w:ascii="Times New Roman" w:hAnsi="Times New Roman"/>
        </w:rPr>
        <w:t>(p)</w:t>
        <w:tab/>
        <w:t>Additional Definitions.  Section 14 of the Agreement is herby amended by adding the following definitions:</w:t>
      </w:r>
    </w:p>
    <w:p>
      <w:pPr>
        <w:pStyle w:val="Normal"/>
        <w:spacing w:lineRule="atLeast" w:line="240" w:before="240" w:after="0"/>
        <w:ind w:firstLine="720" w:end="0"/>
        <w:jc w:val="both"/>
        <w:rPr/>
      </w:pPr>
      <w:r>
        <w:rPr>
          <w:sz w:val="22"/>
          <w:szCs w:val="22"/>
        </w:rPr>
        <w:t>(a)</w:t>
        <w:tab/>
      </w:r>
      <w:r>
        <w:rPr>
          <w:b/>
          <w:bCs/>
          <w:sz w:val="22"/>
          <w:szCs w:val="22"/>
        </w:rPr>
        <w:t xml:space="preserve">“Net Asset Value” </w:t>
      </w:r>
      <w:r>
        <w:rPr>
          <w:sz w:val="22"/>
          <w:szCs w:val="22"/>
        </w:rPr>
        <w:t>has the meaning set forth in Section 3.6 of the Limited Liability Agreement of Amaranth LLC, dated August 21, 2000.</w:t>
      </w:r>
    </w:p>
    <w:p>
      <w:pPr>
        <w:pStyle w:val="BodyTextIndent"/>
        <w:spacing w:lineRule="atLeast" w:line="240"/>
        <w:rPr/>
      </w:pPr>
      <w:r>
        <w:rPr/>
        <w:t>(b)</w:t>
        <w:tab/>
      </w:r>
      <w:r>
        <w:rPr>
          <w:b/>
          <w:bCs/>
        </w:rPr>
        <w:t xml:space="preserve">“Investment Policy” </w:t>
      </w:r>
      <w:r>
        <w:rPr/>
        <w:t>means Party B’s investment objectives, restrictions and guidelines as set forth in Party B’s prospectus, which incorporates the use of derivative products, including swaps, options and other Transactions. [e.g., investment objectives, strategy].</w:t>
      </w:r>
    </w:p>
    <w:p>
      <w:pPr>
        <w:pStyle w:val="Normal"/>
        <w:spacing w:lineRule="atLeast" w:line="240" w:before="240" w:after="0"/>
        <w:ind w:firstLine="720" w:end="0"/>
        <w:jc w:val="both"/>
        <w:rPr>
          <w:sz w:val="22"/>
          <w:szCs w:val="22"/>
        </w:rPr>
      </w:pPr>
      <w:r>
        <w:rPr>
          <w:sz w:val="22"/>
          <w:szCs w:val="22"/>
        </w:rPr>
        <w:t>(c)</w:t>
        <w:tab/>
      </w:r>
      <w:r>
        <w:rPr>
          <w:b/>
          <w:bCs/>
          <w:sz w:val="22"/>
          <w:szCs w:val="22"/>
        </w:rPr>
        <w:t xml:space="preserve">“Manager” </w:t>
      </w:r>
      <w:r>
        <w:rPr>
          <w:sz w:val="22"/>
          <w:szCs w:val="22"/>
        </w:rPr>
        <w:t xml:space="preserve">means </w:t>
      </w:r>
      <w:r>
        <w:rPr>
          <w:color w:val="000000"/>
          <w:sz w:val="22"/>
          <w:szCs w:val="22"/>
        </w:rPr>
        <w:t>Amaranth Partners LLC.</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sz w:val="22"/>
          <w:szCs w:val="22"/>
        </w:rPr>
      </w:pPr>
      <w:r>
        <w:rPr>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rPr>
            </w:pPr>
            <w:r>
              <w:rPr>
                <w:b/>
                <w:bCs/>
                <w:sz w:val="22"/>
                <w:szCs w:val="22"/>
              </w:rPr>
              <w:t>ENRON NORTH AMERICA CORP.</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Heading4"/>
              <w:tabs>
                <w:tab w:val="clear" w:pos="1080"/>
              </w:tabs>
              <w:spacing w:lineRule="exact" w:line="240"/>
              <w:ind w:hanging="0" w:start="0"/>
              <w:rPr>
                <w:bCs w:val="false"/>
                <w:caps/>
              </w:rPr>
            </w:pPr>
            <w:r>
              <w:rPr>
                <w:bCs w:val="false"/>
                <w:caps/>
              </w:rPr>
              <w:t>Quark Power LLC</w:t>
            </w:r>
          </w:p>
          <w:p>
            <w:pPr>
              <w:pStyle w:val="Normal"/>
              <w:keepNext w:val="true"/>
              <w:spacing w:lineRule="exact" w:line="240"/>
              <w:jc w:val="both"/>
              <w:rPr>
                <w:bCs/>
                <w:caps/>
                <w:sz w:val="22"/>
                <w:szCs w:val="22"/>
              </w:rPr>
            </w:pPr>
            <w:r>
              <w:rPr>
                <w:bCs/>
                <w:caps/>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B</w:t>
        <w:tab/>
        <w:t>FORM OF GUARANTY (PARTY B)</w:t>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2001</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b/>
                <w:bCs/>
                <w:caps/>
                <w:sz w:val="22"/>
                <w:szCs w:val="22"/>
              </w:rPr>
              <w:t>Quark Power LLC</w:t>
            </w:r>
            <w:r>
              <w:rPr>
                <w:b/>
                <w:bCs/>
                <w:sz w:val="22"/>
                <w:szCs w:val="22"/>
              </w:rPr>
              <w:t>, a limited liability company organized under the law of the State of Delaware (“Party B”)</w:t>
            </w:r>
          </w:p>
          <w:p>
            <w:pPr>
              <w:pStyle w:val="Normal"/>
              <w:tabs>
                <w:tab w:val="clear" w:pos="720"/>
                <w:tab w:val="center" w:pos="5760" w:leader="none"/>
              </w:tabs>
              <w:spacing w:before="240" w:after="0"/>
              <w:jc w:val="center"/>
              <w:rPr>
                <w:b/>
                <w:bCs/>
                <w:sz w:val="22"/>
                <w:szCs w:val="22"/>
              </w:rPr>
            </w:pPr>
            <w:r>
              <w:rPr>
                <w:b/>
                <w:bCs/>
                <w:sz w:val="22"/>
                <w:szCs w:val="22"/>
              </w:rPr>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(C) </w:t>
      </w:r>
      <w:r>
        <w:rPr>
          <w:b/>
          <w:bCs/>
          <w:sz w:val="22"/>
          <w:szCs w:val="22"/>
        </w:rPr>
        <w:t>“Credit Support Amount”</w:t>
      </w:r>
      <w:r>
        <w:rPr>
          <w:sz w:val="22"/>
          <w:szCs w:val="22"/>
        </w:rPr>
        <w:t xml:space="preserve"> has the meaning specified in Paragraph 3.</w:t>
      </w:r>
    </w:p>
    <w:p>
      <w:pPr>
        <w:pStyle w:val="Normal"/>
        <w:tabs>
          <w:tab w:val="clear" w:pos="720"/>
          <w:tab w:val="left" w:pos="1080" w:leader="none"/>
        </w:tabs>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  None.</w:t>
      </w:r>
    </w:p>
    <w:p>
      <w:pPr>
        <w:pStyle w:val="Normal"/>
        <w:ind w:start="1440" w:end="0"/>
        <w:jc w:val="both"/>
        <w:rPr>
          <w:b/>
          <w:bCs/>
          <w:sz w:val="22"/>
          <w:szCs w:val="22"/>
        </w:rPr>
      </w:pPr>
      <w:r>
        <w:rPr>
          <w:b/>
          <w:bCs/>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sz w:val="22"/>
          <w:szCs w:val="22"/>
        </w:rPr>
      </w:pPr>
      <w:r>
        <w:rPr>
          <w:sz w:val="22"/>
          <w:szCs w:val="22"/>
        </w:rPr>
        <w:t xml:space="preserve">(A)  </w:t>
      </w:r>
      <w:r>
        <w:rPr>
          <w:b/>
          <w:bCs/>
          <w:sz w:val="22"/>
          <w:szCs w:val="22"/>
        </w:rPr>
        <w:t>“Independent Amount”</w:t>
      </w:r>
      <w:r>
        <w:rPr>
          <w:sz w:val="22"/>
          <w:szCs w:val="22"/>
        </w:rPr>
        <w:t xml:space="preserve"> </w:t>
      </w:r>
      <w:r>
        <w:rPr>
          <w:color w:val="000000"/>
          <w:sz w:val="22"/>
          <w:szCs w:val="22"/>
        </w:rPr>
        <w:t>means with respect to Party A, the amount specified as such for Party A in each Confirmation, or if no amount is specified, zero and means with respect to Party B the amount specified as such for Party B which may be either increased or decreased from time to time in a Confirmation, which amount as modified shall be the Independent Amount applicable for all outstanding Transactions, provided, however, that in no event shall Party B’s Independent Amount be less than $250,000 if there are any outstanding Transactions.</w:t>
      </w:r>
      <w:r>
        <w:rPr>
          <w:sz w:val="24"/>
          <w:szCs w:val="24"/>
        </w:rPr>
        <w:t xml:space="preserve"> </w:t>
      </w:r>
    </w:p>
    <w:p>
      <w:pPr>
        <w:pStyle w:val="Normal"/>
        <w:ind w:start="720" w:end="0"/>
        <w:jc w:val="both"/>
        <w:rPr>
          <w:sz w:val="22"/>
          <w:szCs w:val="22"/>
        </w:rPr>
      </w:pPr>
      <w:r>
        <w:rPr>
          <w:sz w:val="22"/>
          <w:szCs w:val="22"/>
        </w:rPr>
      </w:r>
    </w:p>
    <w:p>
      <w:pPr>
        <w:pStyle w:val="Normal"/>
        <w:ind w:start="720" w:end="0"/>
        <w:jc w:val="both"/>
        <w:rPr/>
      </w:pPr>
      <w:r>
        <w:rPr>
          <w:sz w:val="22"/>
          <w:szCs w:val="22"/>
        </w:rPr>
        <w:t xml:space="preserve">(B)  </w:t>
      </w:r>
      <w:r>
        <w:rPr>
          <w:b/>
          <w:bCs/>
          <w:sz w:val="22"/>
          <w:szCs w:val="22"/>
        </w:rPr>
        <w:t>“Threshold”</w:t>
      </w:r>
      <w:r>
        <w:rPr>
          <w:sz w:val="22"/>
          <w:szCs w:val="22"/>
        </w:rPr>
        <w:t xml:space="preserve"> means with respect to Party A, U.S. $ zero (0) and with respect to Party B, U.S. $ zero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$100,000 and the Return Amount will be rounded down to the nearest integral multiple of U.S. $100,000.</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[X]</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5"/>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Party A’s Credit Support Provider has a Credit Rating from S&amp;P and the lowest Credit Rating for Party A’s Credit Support Provider is “BBB-” or higher by S&amp;P.</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if applicable,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 xml:space="preserve">Party B and its Custodian will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 Material Adverse Change has not occurred with respect to Party B.</w:t>
      </w:r>
    </w:p>
    <w:p>
      <w:pPr>
        <w:pStyle w:val="Normal"/>
        <w:ind w:start="1080" w:end="0"/>
        <w:jc w:val="both"/>
        <w:rPr>
          <w:sz w:val="22"/>
          <w:szCs w:val="22"/>
        </w:rPr>
      </w:pPr>
      <w:r>
        <w:rPr>
          <w:sz w:val="22"/>
          <w:szCs w:val="22"/>
        </w:rPr>
      </w:r>
    </w:p>
    <w:p>
      <w:pPr>
        <w:pStyle w:val="Normal"/>
        <w:ind w:start="1080" w:end="0"/>
        <w:jc w:val="both"/>
        <w:rPr>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if applicable,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sz w:val="22"/>
          <w:szCs w:val="22"/>
        </w:rPr>
      </w:pPr>
      <w:r>
        <w:rPr>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 xml:space="preserve">(ii)  </w:t>
      </w:r>
      <w:r>
        <w:rPr>
          <w:b/>
          <w:bCs/>
          <w:sz w:val="22"/>
          <w:szCs w:val="22"/>
        </w:rPr>
        <w:t>Use of Posted Collateral.</w:t>
      </w:r>
    </w:p>
    <w:p>
      <w:pPr>
        <w:pStyle w:val="Normal"/>
        <w:ind w:start="720" w:end="0"/>
        <w:jc w:val="both"/>
        <w:rPr>
          <w:sz w:val="22"/>
          <w:szCs w:val="22"/>
        </w:rPr>
      </w:pPr>
      <w:r>
        <w:rPr>
          <w:sz w:val="22"/>
          <w:szCs w:val="22"/>
        </w:rPr>
      </w:r>
    </w:p>
    <w:p>
      <w:pPr>
        <w:pStyle w:val="Normal"/>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within such Qualified Institution with the title of the Collateral Account indicating that the property contained therein is being held as Posted Collateral for the Downgraded Party; provided</w:t>
      </w:r>
      <w:r>
        <w:rPr>
          <w:sz w:val="22"/>
          <w:szCs w:val="22"/>
          <w:u w:val="single"/>
        </w:rPr>
        <w:t>, that</w:t>
      </w:r>
      <w:r>
        <w:rPr>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(i)</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Material Adverse Change”</w:t>
      </w:r>
      <w:r>
        <w:rPr>
          <w:sz w:val="22"/>
          <w:szCs w:val="22"/>
        </w:rPr>
        <w:t xml:space="preserve"> means (a) with respect to Party A, its Credit Support Provider’s Credit Rating is below “BBB-” by S&amp;P or its Credit Support Provider fails to have a Credit Rating from S&amp;P and (b) with respect to Party B, an Additional Termination Event.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pStyle w:val="Normal"/>
        <w:ind w:hanging="720" w:start="720" w:end="0"/>
        <w:jc w:val="both"/>
        <w:rPr>
          <w:sz w:val="22"/>
          <w:szCs w:val="22"/>
        </w:rPr>
      </w:pPr>
      <w:r>
        <w:rPr>
          <w:sz w:val="22"/>
          <w:szCs w:val="22"/>
        </w:rPr>
      </w:r>
    </w:p>
    <w:p>
      <w:pPr>
        <w:sectPr>
          <w:headerReference w:type="default" r:id="rId3"/>
          <w:footerReference w:type="default" r:id="rId4"/>
          <w:footerReference w:type="first" r:id="rId5"/>
          <w:type w:val="nextPage"/>
          <w:pgSz w:w="12240" w:h="15840"/>
          <w:pgMar w:left="1440" w:right="1440" w:gutter="0" w:header="720" w:top="1440" w:footer="835" w:bottom="1440"/>
          <w:pgNumType w:start="1" w:fmt="decimal"/>
          <w:formProt w:val="false"/>
          <w:textDirection w:val="lrTb"/>
          <w:docGrid w:type="default" w:linePitch="360" w:charSpace="0"/>
        </w:sectPr>
        <w:pStyle w:val="Normal"/>
        <w:keepNext w:val="true"/>
        <w:ind w:start="720" w:end="0"/>
        <w:jc w:val="both"/>
        <w:rPr>
          <w:sz w:val="22"/>
          <w:szCs w:val="22"/>
        </w:rPr>
      </w:pPr>
      <w:r>
        <w:rPr>
          <w:sz w:val="22"/>
          <w:szCs w:val="22"/>
        </w:rPr>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r>
        <w:rPr>
          <w:sz w:val="22"/>
          <w:szCs w:val="22"/>
          <w:u w:val="single"/>
        </w:rPr>
        <w:tab/>
        <w:tab/>
      </w:r>
      <w:r>
        <w:rPr>
          <w:sz w:val="22"/>
          <w:szCs w:val="22"/>
        </w:rPr>
        <w:t xml:space="preserve">, 2000,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caps/>
          <w:sz w:val="22"/>
          <w:szCs w:val="22"/>
        </w:rPr>
        <w:t>Quark Power LLC</w:t>
      </w:r>
      <w:r>
        <w:rPr>
          <w:sz w:val="22"/>
          <w:szCs w:val="22"/>
        </w:rPr>
        <w:t xml:space="preserve">, a limited liability company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sz w:val="22"/>
                <w:szCs w:val="22"/>
              </w:rPr>
            </w:pPr>
            <w:r>
              <w:rPr>
                <w:sz w:val="22"/>
                <w:szCs w:val="22"/>
              </w:rPr>
              <w:t>To Counterparty:</w:t>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Quark Power LLC</w:t>
            </w:r>
          </w:p>
        </w:tc>
        <w:tc>
          <w:tcPr>
            <w:tcW w:w="1530" w:type="dxa"/>
            <w:tcBorders/>
          </w:tcPr>
          <w:p>
            <w:pPr>
              <w:pStyle w:val="Normal"/>
              <w:keepNext w:val="true"/>
              <w:keepLines/>
              <w:spacing w:lineRule="atLeast" w:line="240"/>
              <w:rPr>
                <w:sz w:val="22"/>
                <w:szCs w:val="22"/>
              </w:rPr>
            </w:pPr>
            <w:r>
              <w:rPr>
                <w:sz w:val="22"/>
                <w:szCs w:val="22"/>
              </w:rPr>
              <w:t>To Guarantor:</w:t>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Enron Corp.</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u w:val="single"/>
              </w:rPr>
              <w:tab/>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1400 Smith Street</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u w:val="single"/>
              </w:rPr>
              <w:tab/>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Houston, Texas 77002</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pPr>
            <w:r>
              <w:rPr>
                <w:sz w:val="22"/>
                <w:szCs w:val="22"/>
              </w:rPr>
              <w:t xml:space="preserve">Attn.:  </w:t>
            </w:r>
            <w:r>
              <w:rPr>
                <w:sz w:val="22"/>
                <w:szCs w:val="22"/>
                <w:u w:val="single"/>
              </w:rPr>
              <w:tab/>
            </w:r>
          </w:p>
          <w:p>
            <w:pPr>
              <w:pStyle w:val="Normal"/>
              <w:keepNext w:val="true"/>
              <w:keepLines/>
              <w:tabs>
                <w:tab w:val="clear" w:pos="720"/>
                <w:tab w:val="left" w:pos="3132" w:leader="none"/>
              </w:tabs>
              <w:spacing w:lineRule="atLeast" w:line="240"/>
              <w:rPr>
                <w:sz w:val="22"/>
                <w:szCs w:val="22"/>
                <w:u w:val="single"/>
              </w:rPr>
            </w:pPr>
            <w:r>
              <w:rPr>
                <w:sz w:val="22"/>
                <w:szCs w:val="22"/>
                <w:u w:val="single"/>
              </w:rPr>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Attn.:  Vice President, Finance and Treasurer</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 xml:space="preserve">Fax No.:  </w:t>
            </w:r>
            <w:r>
              <w:rPr>
                <w:sz w:val="22"/>
                <w:szCs w:val="22"/>
                <w:u w:val="single"/>
              </w:rPr>
              <w:tab/>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2000,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sectPr>
          <w:headerReference w:type="default" r:id="rId6"/>
          <w:headerReference w:type="first" r:id="rId7"/>
          <w:footerReference w:type="default" r:id="rId8"/>
          <w:footerReference w:type="first" r:id="rId9"/>
          <w:type w:val="nextPage"/>
          <w:pgSz w:w="12240" w:h="15840"/>
          <w:pgMar w:left="1440" w:right="1440" w:gutter="0" w:header="720" w:top="1080" w:footer="720" w:bottom="776"/>
          <w:pgNumType w:start="1" w:fmt="decimal"/>
          <w:formProt w:val="false"/>
          <w:textDirection w:val="lrTb"/>
          <w:docGrid w:type="default" w:linePitch="360" w:charSpace="0"/>
        </w:sectPr>
        <w:pStyle w:val="Normal"/>
        <w:rPr>
          <w:sz w:val="22"/>
          <w:szCs w:val="22"/>
        </w:rPr>
      </w:pPr>
      <w:r>
        <w:rPr>
          <w:sz w:val="22"/>
          <w:szCs w:val="22"/>
        </w:rPr>
      </w:r>
    </w:p>
    <w:p>
      <w:pPr>
        <w:pStyle w:val="Normal"/>
        <w:spacing w:lineRule="exact" w:line="240"/>
        <w:ind w:end="720"/>
        <w:jc w:val="center"/>
        <w:rPr>
          <w:b/>
          <w:bCs/>
          <w:sz w:val="22"/>
          <w:szCs w:val="22"/>
        </w:rPr>
      </w:pPr>
      <w:r>
        <w:rPr>
          <w:b/>
          <w:bCs/>
          <w:sz w:val="22"/>
          <w:szCs w:val="22"/>
          <w:u w:val="single"/>
        </w:rPr>
        <w:t>EXHIBIT B</w:t>
      </w:r>
    </w:p>
    <w:p>
      <w:pPr>
        <w:pStyle w:val="Normal"/>
        <w:spacing w:lineRule="exact" w:line="240"/>
        <w:ind w:end="720"/>
        <w:jc w:val="center"/>
        <w:rPr>
          <w:b/>
          <w:bCs/>
          <w:sz w:val="22"/>
          <w:szCs w:val="22"/>
        </w:rPr>
      </w:pPr>
      <w:r>
        <w:rPr>
          <w:b/>
          <w:bCs/>
          <w:sz w:val="22"/>
          <w:szCs w:val="22"/>
        </w:rPr>
      </w:r>
    </w:p>
    <w:p>
      <w:pPr>
        <w:pStyle w:val="Normal"/>
        <w:spacing w:lineRule="exact" w:line="240"/>
        <w:ind w:end="720"/>
        <w:jc w:val="center"/>
        <w:rPr>
          <w:b/>
          <w:bCs/>
          <w:sz w:val="22"/>
          <w:szCs w:val="22"/>
        </w:rPr>
      </w:pPr>
      <w:r>
        <w:rPr>
          <w:b/>
          <w:bCs/>
          <w:sz w:val="22"/>
          <w:szCs w:val="22"/>
        </w:rPr>
        <w:t>AMARANTH LLC</w:t>
      </w:r>
    </w:p>
    <w:p>
      <w:pPr>
        <w:pStyle w:val="Normal"/>
        <w:ind w:end="720"/>
        <w:jc w:val="center"/>
        <w:rPr>
          <w:b/>
          <w:bCs/>
          <w:sz w:val="22"/>
          <w:szCs w:val="22"/>
        </w:rPr>
      </w:pPr>
      <w:r>
        <w:rPr>
          <w:b/>
          <w:bCs/>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ind w:end="72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r>
        <w:rPr>
          <w:sz w:val="22"/>
          <w:szCs w:val="22"/>
          <w:u w:val="single"/>
        </w:rPr>
        <w:tab/>
        <w:tab/>
        <w:tab/>
      </w:r>
      <w:r>
        <w:rPr>
          <w:sz w:val="22"/>
          <w:szCs w:val="22"/>
        </w:rPr>
        <w:t xml:space="preserve">, 2000, is made and entered into by AMARANTH LLC, a </w:t>
      </w:r>
      <w:r>
        <w:rPr>
          <w:sz w:val="22"/>
          <w:szCs w:val="22"/>
          <w:u w:val="single"/>
        </w:rPr>
        <w:tab/>
        <w:tab/>
      </w:r>
      <w:r>
        <w:rPr>
          <w:sz w:val="22"/>
          <w:szCs w:val="22"/>
        </w:rPr>
        <w:t xml:space="preserve"> corporation (“Guarantor”).</w:t>
      </w:r>
    </w:p>
    <w:p>
      <w:pPr>
        <w:pStyle w:val="Normal"/>
        <w:spacing w:lineRule="atLeast" w:line="240"/>
        <w:jc w:val="both"/>
        <w:rPr>
          <w:sz w:val="22"/>
          <w:szCs w:val="22"/>
        </w:rPr>
      </w:pPr>
      <w:r>
        <w:rPr>
          <w:sz w:val="22"/>
          <w:szCs w:val="22"/>
        </w:rPr>
      </w:r>
    </w:p>
    <w:p>
      <w:pPr>
        <w:pStyle w:val="Normal"/>
        <w:keepNext w:val="true"/>
        <w:spacing w:lineRule="atLeast" w:line="24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caps/>
          <w:sz w:val="22"/>
          <w:szCs w:val="22"/>
        </w:rPr>
        <w:t>Quark Power LLC</w:t>
      </w:r>
      <w:r>
        <w:rPr>
          <w:sz w:val="22"/>
          <w:szCs w:val="22"/>
        </w:rPr>
        <w:t xml:space="preserve">, a wholly owned subsidiary of Guarantor (“Counterparty”), and </w:t>
      </w:r>
      <w:r>
        <w:rPr>
          <w:caps/>
          <w:sz w:val="22"/>
          <w:szCs w:val="22"/>
        </w:rPr>
        <w:t>Enron NORTH AMERICA Corp.</w:t>
      </w:r>
      <w:r>
        <w:rPr>
          <w:sz w:val="22"/>
          <w:szCs w:val="22"/>
        </w:rPr>
        <w:t xml:space="preserve">, a Delaware corporation (“Enron”),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Enron entering into the Contract, Guarantor hereby covenants and agrees as follows:</w:t>
      </w:r>
    </w:p>
    <w:p>
      <w:pPr>
        <w:pStyle w:val="Normal"/>
        <w:numPr>
          <w:ilvl w:val="0"/>
          <w:numId w:val="2"/>
        </w:numPr>
        <w:spacing w:lineRule="exact" w:line="240" w:before="240" w:after="0"/>
        <w:ind w:firstLine="720" w:start="0" w:end="0"/>
        <w:jc w:val="both"/>
        <w:rPr>
          <w:sz w:val="22"/>
          <w:szCs w:val="22"/>
        </w:rPr>
      </w:pPr>
      <w:r>
        <w:rPr>
          <w:sz w:val="22"/>
          <w:szCs w:val="22"/>
          <w:u w:val="single"/>
        </w:rPr>
        <w:t>GUARANTY</w:t>
      </w:r>
      <w:r>
        <w:rPr>
          <w:sz w:val="22"/>
          <w:szCs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the Guaranty shall be subject to the following:</w:t>
      </w:r>
    </w:p>
    <w:p>
      <w:pPr>
        <w:pStyle w:val="BodyTextIndent3"/>
        <w:widowControl/>
        <w:tabs>
          <w:tab w:val="clear" w:pos="720"/>
          <w:tab w:val="left" w:pos="2160" w:leader="none"/>
        </w:tabs>
        <w:spacing w:before="240" w:after="0"/>
        <w:rPr/>
      </w:pPr>
      <w:r>
        <w:rPr/>
        <w:t>(a)</w:t>
        <w:tab/>
        <w:t>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widowControl/>
        <w:spacing w:before="240" w:after="0"/>
        <w:rPr/>
      </w:pPr>
      <w:r>
        <w:rPr/>
        <w:t>(b)</w:t>
        <w:tab/>
        <w:t>The aggregate amount covered by this Guaranty shall not exceed U.S. $10,000,000.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BodyTextIndent"/>
        <w:rPr/>
      </w:pPr>
      <w:r>
        <w:rPr/>
        <w:t xml:space="preserve">(a)  it is a corporation duly organized and validly existing under the laws of the State of ______________________ and has the corporate power and authority to execute, deliver and carry out the terms and provisions of the Guaranty; </w:t>
      </w:r>
    </w:p>
    <w:p>
      <w:pPr>
        <w:pStyle w:val="Normal"/>
        <w:spacing w:lineRule="exact" w:line="240" w:before="240" w:after="0"/>
        <w:ind w:start="72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spacing w:before="240" w:after="0"/>
        <w:ind w:hanging="0" w:end="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szCs w:val="22"/>
        </w:rPr>
      </w:pPr>
      <w:r>
        <w:rPr>
          <w:sz w:val="22"/>
          <w:szCs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sz w:val="22"/>
                <w:szCs w:val="22"/>
              </w:rPr>
            </w:pPr>
            <w:r>
              <w:rPr>
                <w:sz w:val="22"/>
                <w:szCs w:val="22"/>
              </w:rPr>
              <w:t>To Enron:</w:t>
            </w:r>
          </w:p>
        </w:tc>
        <w:tc>
          <w:tcPr>
            <w:tcW w:w="4230" w:type="dxa"/>
            <w:tcBorders/>
          </w:tcPr>
          <w:p>
            <w:pPr>
              <w:pStyle w:val="Normal"/>
              <w:keepNext w:val="true"/>
              <w:keepLines/>
              <w:spacing w:lineRule="atLeast" w:line="240"/>
              <w:rPr>
                <w:sz w:val="22"/>
                <w:szCs w:val="22"/>
              </w:rPr>
            </w:pPr>
            <w:r>
              <w:rPr>
                <w:sz w:val="22"/>
                <w:szCs w:val="22"/>
              </w:rPr>
              <w:t xml:space="preserve">Enron North America Corp. </w:t>
            </w:r>
          </w:p>
        </w:tc>
        <w:tc>
          <w:tcPr>
            <w:tcW w:w="1620" w:type="dxa"/>
            <w:tcBorders/>
          </w:tcPr>
          <w:p>
            <w:pPr>
              <w:pStyle w:val="Normal"/>
              <w:keepNext w:val="true"/>
              <w:keepLines/>
              <w:spacing w:lineRule="atLeast" w:line="240"/>
              <w:rPr>
                <w:sz w:val="22"/>
                <w:szCs w:val="22"/>
              </w:rPr>
            </w:pPr>
            <w:r>
              <w:rPr>
                <w:sz w:val="22"/>
                <w:szCs w:val="22"/>
              </w:rPr>
              <w:t>To Guarantor:</w:t>
            </w:r>
          </w:p>
        </w:tc>
        <w:tc>
          <w:tcPr>
            <w:tcW w:w="3150" w:type="dxa"/>
            <w:tcBorders/>
          </w:tcPr>
          <w:p>
            <w:pPr>
              <w:pStyle w:val="Header"/>
              <w:keepNext w:val="true"/>
              <w:keepLines/>
              <w:widowControl/>
              <w:tabs>
                <w:tab w:val="clear" w:pos="4320"/>
                <w:tab w:val="clear" w:pos="8640"/>
                <w:tab w:val="right" w:pos="2988" w:leader="none"/>
              </w:tabs>
              <w:spacing w:lineRule="atLeast" w:line="240"/>
              <w:rPr/>
            </w:pPr>
            <w:r>
              <w:rPr/>
              <w:t>Amaranth LLC</w:t>
            </w:r>
          </w:p>
          <w:p>
            <w:pPr>
              <w:pStyle w:val="Normal"/>
              <w:keepNext w:val="true"/>
              <w:keepLines/>
              <w:tabs>
                <w:tab w:val="clear" w:pos="720"/>
                <w:tab w:val="right" w:pos="2988" w:leader="none"/>
              </w:tabs>
              <w:spacing w:lineRule="atLeast" w:line="240"/>
              <w:rPr>
                <w:sz w:val="22"/>
                <w:szCs w:val="22"/>
              </w:rPr>
            </w:pP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1400 Smith Street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ind w:end="72"/>
              <w:rPr>
                <w:sz w:val="22"/>
                <w:szCs w:val="22"/>
              </w:rPr>
            </w:pP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Houston, Texas  77002</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Attn.:</w:t>
            </w: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Attn.:  Director, Documentation Department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Fax No.:</w:t>
            </w: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Fax No.:  (713) 646-4816</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bl>
    <w:p>
      <w:pPr>
        <w:pStyle w:val="Normal"/>
        <w:tabs>
          <w:tab w:val="clear" w:pos="720"/>
          <w:tab w:val="left" w:pos="6480" w:leader="none"/>
        </w:tabs>
        <w:spacing w:lineRule="atLeast" w:line="240"/>
        <w:jc w:val="both"/>
        <w:rPr>
          <w:sz w:val="22"/>
          <w:szCs w:val="22"/>
        </w:rPr>
      </w:pPr>
      <w:r>
        <w:rPr>
          <w:sz w:val="22"/>
          <w:szCs w:val="22"/>
        </w:rPr>
      </w:r>
    </w:p>
    <w:p>
      <w:pPr>
        <w:pStyle w:val="Normal"/>
        <w:tabs>
          <w:tab w:val="clear" w:pos="720"/>
          <w:tab w:val="left" w:pos="6480" w:leader="none"/>
        </w:tabs>
        <w:spacing w:lineRule="atLeast" w:line="240"/>
        <w:jc w:val="both"/>
        <w:rPr>
          <w:sz w:val="22"/>
          <w:szCs w:val="22"/>
        </w:rPr>
      </w:pPr>
      <w:r>
        <w:rPr>
          <w:sz w:val="22"/>
          <w:szCs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8.</w:t>
        <w:tab/>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Enron, its successors and assigns.  The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r>
      <w:r>
        <w:rPr>
          <w:sz w:val="22"/>
          <w:szCs w:val="22"/>
          <w:u w:val="single"/>
        </w:rPr>
        <w:tab/>
        <w:tab/>
      </w:r>
      <w:r>
        <w:rPr>
          <w:sz w:val="22"/>
          <w:szCs w:val="22"/>
        </w:rPr>
        <w:t>, 2000, but it is effective as of the date first above written.</w:t>
      </w:r>
    </w:p>
    <w:p>
      <w:pPr>
        <w:pStyle w:val="Normal"/>
        <w:spacing w:lineRule="atLeast" w:line="240"/>
        <w:jc w:val="both"/>
        <w:rPr>
          <w:b/>
          <w:bCs/>
          <w:sz w:val="22"/>
          <w:szCs w:val="22"/>
        </w:rPr>
      </w:pPr>
      <w:r>
        <w:rPr>
          <w:b/>
          <w:bCs/>
          <w:sz w:val="22"/>
          <w:szCs w:val="22"/>
        </w:rPr>
      </w:r>
    </w:p>
    <w:p>
      <w:pPr>
        <w:pStyle w:val="Normal"/>
        <w:spacing w:lineRule="exact" w:line="240"/>
        <w:ind w:start="5040" w:end="0"/>
        <w:jc w:val="both"/>
        <w:rPr>
          <w:sz w:val="22"/>
          <w:szCs w:val="22"/>
        </w:rPr>
      </w:pPr>
      <w:r>
        <w:rPr>
          <w:b/>
          <w:bCs/>
          <w:sz w:val="22"/>
          <w:szCs w:val="22"/>
        </w:rPr>
        <w:t>AMARANTH LLC</w:t>
      </w:r>
    </w:p>
    <w:p>
      <w:pPr>
        <w:pStyle w:val="Normal"/>
        <w:spacing w:lineRule="exact" w:line="240"/>
        <w:ind w:start="504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r>
    </w:p>
    <w:p>
      <w:pPr>
        <w:pStyle w:val="Normal"/>
        <w:rPr>
          <w:sz w:val="22"/>
          <w:szCs w:val="22"/>
          <w:u w:val="single"/>
        </w:rPr>
      </w:pPr>
      <w:r>
        <w:rPr>
          <w:sz w:val="22"/>
          <w:szCs w:val="22"/>
          <w:u w:val="single"/>
        </w:rPr>
      </w:r>
    </w:p>
    <w:p>
      <w:pPr>
        <w:pStyle w:val="Normal"/>
        <w:rPr>
          <w:sz w:val="22"/>
          <w:szCs w:val="22"/>
        </w:rPr>
      </w:pPr>
      <w:r>
        <w:rPr>
          <w:sz w:val="22"/>
          <w:szCs w:val="22"/>
        </w:rPr>
      </w:r>
    </w:p>
    <w:p>
      <w:pPr>
        <w:pStyle w:val="Normal"/>
        <w:keepLines/>
        <w:spacing w:lineRule="exact" w:line="240"/>
        <w:jc w:val="center"/>
        <w:rPr/>
      </w:pPr>
      <w:r>
        <w:rPr/>
      </w:r>
    </w:p>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08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/mnt/main-storage/datasets/enron-docs/doc/061Ectr__Quark_Power_LLC___Hedge_Fund_.doc</w:t>
    </w:r>
    <w:r>
      <w:rPr>
        <w:rStyle w:val="PageNumber"/>
        <w:sz w:val="16"/>
        <w:szCs w:val="16"/>
      </w:rPr>
      <w:fldChar w:fldCharType="end"/>
    </w:r>
    <w:r>
      <mc:AlternateContent>
        <mc:Choice Requires="wps">
          <w:drawing>
            <wp:anchor behindDoc="0" distT="0" distB="0" distL="0" distR="0" simplePos="0" locked="0" layoutInCell="0" allowOverlap="1" relativeHeight="13">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12</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12</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/mnt/main-storage/datasets/enron-docs/doc/061Ectr__Quark_Power_LLC___Hedge_Fund_.doc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6</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4"/>
      </w:rPr>
    </w:pPr>
    <w:r>
      <w:rPr>
        <w:sz w:val="14"/>
      </w:rPr>
      <w:fldChar w:fldCharType="begin"/>
    </w:r>
    <w:r>
      <w:rPr>
        <w:sz w:val="14"/>
      </w:rPr>
      <w:instrText xml:space="preserve"> FILENAME \p </w:instrText>
    </w:r>
    <w:r>
      <w:rPr>
        <w:sz w:val="14"/>
      </w:rPr>
      <w:fldChar w:fldCharType="separate"/>
    </w:r>
    <w:r>
      <w:rPr>
        <w:sz w:val="14"/>
      </w:rPr>
      <w:t>/mnt/main-storage/datasets/enron-docs/doc/061Ectr__Quark_Power_LLC___Hedge_Fund_.doc</w:t>
    </w:r>
    <w:r>
      <w:rPr>
        <w:sz w:val="14"/>
      </w:rPr>
      <w:fldChar w:fldCharType="end"/>
    </w:r>
  </w:p>
  <w:p>
    <w:pPr>
      <w:pStyle w:val="Footer"/>
      <w:widowControl/>
      <w:jc w:val="center"/>
      <w:rPr/>
    </w:pPr>
    <w:r>
      <w:rPr/>
      <w:t xml:space="preserve">Page </w:t>
    </w:r>
    <w:r>
      <w:rPr/>
      <w:fldChar w:fldCharType="begin"/>
    </w:r>
    <w:r>
      <w:rPr/>
      <w:instrText xml:space="preserve"> PAGE </w:instrText>
    </w:r>
    <w:r>
      <w:rPr/>
      <w:fldChar w:fldCharType="separate"/>
    </w:r>
    <w:r>
      <w:rPr/>
      <w:t>3</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4"/>
      </w:rPr>
    </w:pPr>
    <w:r>
      <w:rPr>
        <w:sz w:val="14"/>
      </w:rPr>
      <w:fldChar w:fldCharType="begin"/>
    </w:r>
    <w:r>
      <w:rPr>
        <w:sz w:val="14"/>
      </w:rPr>
      <w:instrText xml:space="preserve"> FILENAME \p </w:instrText>
    </w:r>
    <w:r>
      <w:rPr>
        <w:sz w:val="14"/>
      </w:rPr>
      <w:fldChar w:fldCharType="separate"/>
    </w:r>
    <w:r>
      <w:rPr>
        <w:sz w:val="14"/>
      </w:rPr>
      <w:t>/mnt/main-storage/datasets/enron-docs/doc/061Ectr__Quark_Power_LLC___Hedge_Fund_.doc</w:t>
    </w:r>
    <w:r>
      <w:rPr>
        <w:sz w:val="14"/>
      </w:rPr>
      <w:fldChar w:fldCharType="end"/>
    </w:r>
  </w:p>
  <w:p>
    <w:pPr>
      <w:pStyle w:val="Footer"/>
      <w:widowControl/>
      <w:jc w:val="center"/>
      <w:rPr/>
    </w:pPr>
    <w:r>
      <w:rPr/>
      <w:t xml:space="preserve">Page </w:t>
    </w:r>
    <w:r>
      <w:rPr/>
      <w:fldChar w:fldCharType="begin"/>
    </w:r>
    <w:r>
      <w:rPr/>
      <w:instrText xml:space="preserve"> PAGE </w:instrText>
    </w:r>
    <w:r>
      <w:rPr/>
      <w:fldChar w:fldCharType="separate"/>
    </w:r>
    <w:r>
      <w:rPr/>
      <w:t>3</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905"/>
        </w:tabs>
        <w:ind w:start="1905" w:hanging="1185"/>
      </w:pPr>
      <w:rPr/>
    </w:lvl>
  </w:abstractNum>
  <w:abstractNum w:abstractNumId="3">
    <w:lvl w:ilvl="0">
      <w:start w:val="1"/>
      <w:numFmt w:val="lowerLetter"/>
      <w:lvlText w:val="(%1)"/>
      <w:lvlJc w:val="start"/>
      <w:pPr>
        <w:ind w:start="450" w:hanging="360"/>
      </w:pPr>
      <w:rPr/>
    </w:lvl>
  </w:abstractNum>
  <w:abstractNum w:abstractNumId="4">
    <w:lvl w:ilvl="0">
      <w:start w:val="1"/>
      <w:numFmt w:val="lowerRoman"/>
      <w:lvlText w:val="(%1)"/>
      <w:lvlJc w:val="start"/>
      <w:pPr>
        <w:tabs>
          <w:tab w:val="num" w:pos="1440"/>
        </w:tabs>
        <w:ind w:start="1440" w:hanging="720"/>
      </w:pPr>
      <w:rPr/>
    </w:lvl>
  </w:abstractNum>
  <w:abstractNum w:abstractNumId="5">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z w:val="20"/>
      <w:szCs w:val="20"/>
    </w:rPr>
  </w:style>
  <w:style w:type="character" w:styleId="WW8Num12z0">
    <w:name w:val="WW8Num12z0"/>
    <w:qFormat/>
    <w:rPr/>
  </w:style>
  <w:style w:type="character" w:styleId="WW8Num14z0">
    <w:name w:val="WW8Num14z0"/>
    <w:qFormat/>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2001-06-27T12:23:00Z</dcterms:created>
  <dc:creator>mheard</dc:creator>
  <dc:description/>
  <dc:language>en-CA</dc:language>
  <cp:lastModifiedBy>mheard</cp:lastModifiedBy>
  <cp:lastPrinted>2001-06-27T16:29:00Z</cp:lastPrinted>
  <dcterms:modified xsi:type="dcterms:W3CDTF">2001-06-27T18:59:00Z</dcterms:modified>
  <cp:revision>4</cp:revision>
  <dc:subject/>
  <dc:title>ISDA Multicurrency Agreement</dc:title>
</cp:coreProperties>
</file>