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the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Companies are authorized to enter into Transactions which create Positions for Enron Corp. and its affiliates, other Enron Companies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numPr>
          <w:ilvl w:val="0"/>
          <w:numId w:val="4"/>
        </w:numPr>
        <w:tabs>
          <w:tab w:val="left" w:pos="720" w:leader="none"/>
        </w:tabs>
        <w:ind w:hanging="360" w:start="720" w:end="0"/>
        <w:jc w:val="both"/>
        <w:rPr/>
      </w:pPr>
      <w:r>
        <w:rPr>
          <w:b/>
        </w:rPr>
        <w:t>Capital Portfolio</w:t>
      </w:r>
      <w:r>
        <w:rPr/>
        <w:t xml:space="preserve"> – designed to accommodate active management of the market sensitive exposures embedded in the Merchant Portfolio and to provide greater liquidity for Enron’s merchant investment activities within the approved limits. </w:t>
      </w:r>
    </w:p>
    <w:p>
      <w:pPr>
        <w:pStyle w:val="Normal"/>
        <w:jc w:val="both"/>
        <w:rPr/>
      </w:pPr>
      <w:r>
        <w:rPr/>
      </w:r>
    </w:p>
    <w:p>
      <w:pPr>
        <w:pStyle w:val="Normal"/>
        <w:numPr>
          <w:ilvl w:val="0"/>
          <w:numId w:val="4"/>
        </w:numPr>
        <w:tabs>
          <w:tab w:val="left" w:pos="720" w:leader="none"/>
        </w:tabs>
        <w:ind w:hanging="360" w:start="720" w:end="0"/>
        <w:jc w:val="both"/>
        <w:rPr/>
      </w:pPr>
      <w:r>
        <w:rPr>
          <w:b/>
        </w:rPr>
        <w:t xml:space="preserve">Energy Investment Portfolio (EIP) - </w:t>
      </w:r>
      <w:r>
        <w:rPr/>
        <w:t>designed to capture and manage certain large open Positions domestically and internationally, that have been entered into as an offset or anticipatory hedge to originated physical positions within the approved limits. Positions within the EIP are reviewed regularly by the Enron Corp. Chief Risk Officer and the President of Enron Corp., who together are responsible for policies concerning the suitability of Transactions within EIP, monitoring guidelines, risk measurement standards and Transaction approval requirements.</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and Potential Exposure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numPr>
          <w:ilvl w:val="0"/>
          <w:numId w:val="2"/>
        </w:numPr>
        <w:jc w:val="both"/>
        <w:rPr/>
      </w:pPr>
      <w:r>
        <w:rPr>
          <w:b/>
        </w:rPr>
        <w:t>Net Open Position Limits</w:t>
      </w:r>
      <w:r>
        <w:rPr/>
        <w:t xml:space="preserve">.  Enron Companies’ activities are subject to the Net Open Position limits at the Commodity Group level, as specified in </w:t>
      </w:r>
      <w:r>
        <w:rPr>
          <w:u w:val="single"/>
        </w:rPr>
        <w:t>Appendix 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Companies’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Companies’ activities are subject to potential exposure analysis using stress-testing and scenario analysis, as directed by the Enron Corp. Chief Risk Officer, and limits based on VAR, 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2"/>
        </w:numPr>
        <w:jc w:val="both"/>
        <w:rPr/>
      </w:pPr>
      <w:r>
        <w:rPr>
          <w:b/>
        </w:rPr>
        <w:t>Regulated Exchange Limits</w:t>
      </w:r>
      <w:r>
        <w:rPr/>
        <w:t>.  Enron Companies may be subject to limits imposed by regulated exchanges on which they transact.  Enron Companies shall comply with any such limits imposed on them, as such limits may be modified from time to time.</w:t>
      </w:r>
    </w:p>
    <w:p>
      <w:pPr>
        <w:pStyle w:val="Normal"/>
        <w:jc w:val="both"/>
        <w:rPr>
          <w:b/>
        </w:rPr>
      </w:pPr>
      <w:r>
        <w:rPr>
          <w:b/>
        </w:rPr>
      </w:r>
    </w:p>
    <w:p>
      <w:pPr>
        <w:pStyle w:val="Normal"/>
        <w:numPr>
          <w:ilvl w:val="0"/>
          <w:numId w:val="2"/>
        </w:numPr>
        <w:jc w:val="both"/>
        <w:rPr/>
      </w:pPr>
      <w:r>
        <w:rPr>
          <w:rFonts w:eastAsia="Book Antiqua;Times New Roman"/>
          <w:b/>
        </w:rPr>
        <w:t xml:space="preserve"> </w:t>
      </w:r>
      <w:r>
        <w:rPr>
          <w:b/>
        </w:rPr>
        <w:t>Loss Notifications</w:t>
      </w:r>
      <w:r>
        <w:rPr/>
        <w:t xml:space="preserve">. Daily and Cumulative Losses resulting from Enron Companies’ activities are subject to the reporting requirements, as specified in </w:t>
      </w:r>
      <w:r>
        <w:rPr>
          <w:u w:val="single"/>
        </w:rPr>
        <w:t>Section IV.C</w:t>
      </w:r>
      <w:r>
        <w:rPr/>
        <w:t>.</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VAR limit is exceeded or if the VAR for any Commodity Group or Portfolio is equal to or in excess of five percent (5%) of the applicable limit, the Enron Corp. Chief Risk Officer shall promptly communicate the occurrence to the President of Enron Corp.  If the aggregate VAR or the VAR 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VAR limit as approved by the Board of Directors, the Enron Corp. Chief Risk Officer shall promptly communicate the occurrence to the President of Enron Corp. If at any time the aggregate Daily Loss or the Daily Loss in any Commodity Group or all Commodity Groups in the aggregate is equal to or in excess of 75% of the respective VAR 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If at any time the aggregate Cumulative Loss or Cumulative Loss in any Commodity Group or Portfolio is equal to or in excess of 75% of the respective VAR 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VAR limit as approved by the Board of Directors, the Enron Corp. Chief Risk Officer shall promptly communicate the occurrence to the Chairman of Enron Corp. Cumulative Loss violations are not reported for events, for which a respective Daily Loss has been previously reported.</w:t>
      </w:r>
    </w:p>
    <w:p>
      <w:pPr>
        <w:pStyle w:val="BodyTextIndent2"/>
        <w:keepNext w:val="true"/>
        <w:ind w:start="720" w:end="0"/>
        <w:rPr/>
      </w:pPr>
      <w:r>
        <w:rPr/>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 of the Aggregate VAR Limit of 15% or greater and aggregate Daily Loss in excess of the respective VAR Limit.  These and other limit violations and Loss Notifications and a summary of Enron’s market risks will be reported to the Audit Committee of the Board by the Chief Risk Officer of Enron Corp. at all regularly scheduled Audit Committee meetings.</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Enron Companies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Enron Companies shall prepare and distribute a daily report (“Daily Position Report”) showing Commodity Group Net Open Position, profit or loss, potential exposure and any other parameters as may be required by the President or the Chief Risk Officer of Enron Corp.  The Daily Position Report will also report various limits compared to their respective actual amounts.  The President of Enron Corp. and Enron Corp. Chief Risk Officer shall designate individuals who are authorized to approve the Daily Position Report on behalf of Enron Corp. The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Enron Corp. Chief Risk Officer or his designee will be authorized to enter into Transactions on behalf of Enron Companies.  </w:t>
      </w:r>
      <w:r>
        <w:rPr>
          <w:color w:val="000000"/>
        </w:rPr>
        <w:t xml:space="preserve">The Chief Risk Officer must also approve and maintain a record of those employees responsible for the individual Commodity Groups as specified in </w:t>
      </w:r>
      <w:r>
        <w:rPr>
          <w:color w:val="000000"/>
          <w:u w:val="single"/>
        </w:rPr>
        <w:t>Appendix I</w:t>
      </w:r>
      <w:r>
        <w:rPr>
          <w:color w:val="000000"/>
        </w:rPr>
        <w:t xml:space="preserve"> and </w:t>
      </w:r>
      <w:r>
        <w:rPr>
          <w:color w:val="000000"/>
          <w:u w:val="single"/>
        </w:rPr>
        <w:t>Appendix III</w:t>
      </w:r>
      <w:r>
        <w:rPr>
          <w:color w:val="000000"/>
        </w:rPr>
        <w:t>.</w:t>
      </w:r>
      <w:r>
        <w:rPr/>
        <w:t xml:space="preserve">  All Transactions must be entered into in compliance with current or future policies, prevailing at the time transactions are contemplated, of the Structuring Group, Credit Group, Legal Department, Risk Controls Group and relevant groups.</w:t>
      </w:r>
    </w:p>
    <w:p>
      <w:pPr>
        <w:pStyle w:val="Normal"/>
        <w:ind w:start="720" w:end="0"/>
        <w:jc w:val="both"/>
        <w:rPr/>
      </w:pPr>
      <w:r>
        <w:rPr/>
      </w:r>
    </w:p>
    <w:p>
      <w:pPr>
        <w:pStyle w:val="Normal"/>
        <w:numPr>
          <w:ilvl w:val="0"/>
          <w:numId w:val="7"/>
        </w:numPr>
        <w:jc w:val="both"/>
        <w:rPr/>
      </w:pPr>
      <w:r>
        <w:rPr>
          <w:b/>
        </w:rPr>
        <w:t>Brokerage Accounts.</w:t>
      </w:r>
      <w:r>
        <w:rPr/>
        <w:t xml:space="preserve">  Designated Enron Companies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Any changes to parameters used in the aggregation and measurement of Positions must be approved by the Enron Corp. Chief Risk Officer.  This includes, but is not limited to, the Benchmark Positions, VAR 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w:t>
      </w:r>
      <w:r>
        <w:rPr>
          <w:u w:val="single"/>
        </w:rPr>
        <w:t>VI B</w:t>
      </w:r>
      <w:r>
        <w:rPr/>
        <w:t xml:space="preserve">, or </w:t>
      </w:r>
      <w:r>
        <w:rPr>
          <w:u w:val="single"/>
        </w:rPr>
        <w:t>VI C</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Company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Company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Any violation of this Policy by an employee shall be grounds for immediate termination.</w:t>
      </w:r>
    </w:p>
    <w:p>
      <w:pPr>
        <w:pStyle w:val="Normal"/>
        <w:ind w:start="720" w:end="0"/>
        <w:jc w:val="both"/>
        <w:rPr/>
      </w:pPr>
      <w:r>
        <w:rPr/>
        <w:br/>
      </w: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Company and any other Enron Company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Company(ies)</w:t>
      </w:r>
      <w:r>
        <w:rPr/>
        <w:t>” shall mean Enron Corp. and any entity controlled, directly or indirectly, by Enron Corp., or any entity directly or indirectly under common control of Enron Corp.  For this purpose, "control" of any entity means ownership of fifty percent (50%) or more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shall mean the Potential Exposure related to a Commodity Group or Position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w:t>
      </w:r>
    </w:p>
    <w:p>
      <w:pPr>
        <w:pStyle w:val="Body"/>
        <w:ind w:start="0" w:end="0"/>
        <w:rPr>
          <w:color w:val="000000"/>
        </w:rPr>
      </w:pPr>
      <w:r>
        <w:rPr>
          <w:color w:val="000000"/>
        </w:rPr>
      </w:r>
    </w:p>
    <w:sectPr>
      <w:headerReference w:type="default" r:id="rId6"/>
      <w:headerReference w:type="first" r:id="rId7"/>
      <w:footerReference w:type="default" r:id="rId8"/>
      <w:footerReference w:type="first" r:id="rId9"/>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/mnt/main-storage/datasets/enron-docs/doc/05_01_00_Policy_Ammendw_ofinal.doc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/mnt/main-storage/datasets/enron-docs/doc/05_01_00_Policy_Ammendw_ofinal.doc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/mnt/main-storage/datasets/enron-docs/doc/05_01_00_Policy_Ammendw_ofinal.doc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/mnt/main-storage/datasets/enron-docs/doc/05_01_00_Policy_Ammendw_ofinal.doc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2000-05-02T15:52:00Z</dcterms:created>
  <dc:creator>ECT</dc:creator>
  <dc:description>Incorporates comments from M Taylor and J Skilling</dc:description>
  <dc:language>en-CA</dc:language>
  <cp:lastModifiedBy>vvaldez</cp:lastModifiedBy>
  <cp:lastPrinted>2000-04-25T14:32:00Z</cp:lastPrinted>
  <dcterms:modified xsi:type="dcterms:W3CDTF">2000-05-02T15:53:00Z</dcterms:modified>
  <cp:revision>3</cp:revision>
  <dc:subject/>
  <dc:title>ECT Risk Management Policy</dc:title>
</cp:coreProperties>
</file>