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8"/>
        </w:rPr>
      </w:pPr>
      <w:r>
        <w:rPr>
          <w:b/>
          <w:sz w:val="28"/>
        </w:rPr>
        <w:t xml:space="preserve">Description of SB 937 and Amendments as Passed by the State Senate </w:t>
      </w:r>
    </w:p>
    <w:p>
      <w:pPr>
        <w:pStyle w:val="Heading"/>
        <w:rPr>
          <w:b/>
          <w:sz w:val="28"/>
        </w:rPr>
      </w:pPr>
      <w:r>
        <w:rPr>
          <w:b/>
          <w:sz w:val="28"/>
        </w:rPr>
        <w:t>And Approved by the House Energy and Technology Committee</w:t>
      </w:r>
    </w:p>
    <w:p>
      <w:pPr>
        <w:pStyle w:val="Heading"/>
        <w:rPr>
          <w:b/>
          <w:sz w:val="28"/>
        </w:rPr>
      </w:pPr>
      <w:r>
        <w:rPr>
          <w:b/>
          <w:sz w:val="28"/>
        </w:rPr>
        <w:t>May 31, 2000</w:t>
      </w:r>
    </w:p>
    <w:p>
      <w:pPr>
        <w:pStyle w:val="Heading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Heading"/>
        <w:jc w:val="start"/>
        <w:rPr/>
      </w:pPr>
      <w:r>
        <w:rPr/>
        <w:t>Unbundling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provides for unbundling of services and charges for commercial and industrial customers within one year after bill passage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requires “rate, terms and conditions” unbundling for </w:t>
      </w:r>
      <w:r>
        <w:rPr>
          <w:u w:val="single"/>
        </w:rPr>
        <w:t>all</w:t>
      </w:r>
      <w:r>
        <w:rPr/>
        <w:t xml:space="preserve"> retail customers (implying residential as well as C&amp;I customers) on or before 1/1/02 and also authorizes PSC to unbundle residential rates one year after effective date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5% rate discount for residential customers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does not displace current capacity bidding process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utilities retain their right to meter and bill for their services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Rate Moratorium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rates will not increase for customers less than 15 KW before 1/1/05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no cost shifting permitted between customer rate classes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securitization proceeds are allocated by PSC so as not to change cost responsibility among rate classes</w:t>
      </w:r>
    </w:p>
    <w:p>
      <w:pPr>
        <w:pStyle w:val="Heading"/>
        <w:ind w:start="720" w:end="0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Code of Conduct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PSC has authority to order a code of conduct that includes but is not limited to: 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jc w:val="start"/>
        <w:rPr/>
      </w:pPr>
      <w:r>
        <w:rPr/>
        <w:t>1. The prevention of cross-subsidization;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jc w:val="start"/>
        <w:rPr/>
      </w:pPr>
      <w:r>
        <w:rPr/>
        <w:t>2. Prohibition on information sharing;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jc w:val="start"/>
        <w:rPr/>
      </w:pPr>
      <w:r>
        <w:rPr/>
        <w:t>3. Preventing preferential treatment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Stranded Costs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stranded costs are calculated and netted against those assets with a market value in excess of book value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annual true-up to reconcile stranded cost over and under collections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PSC determine appropriate method for calculation and recovery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Securitization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utilities will be able to securitize their stranded costs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securitization proceeds go first to fund the residential rate cut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securitization proceeds then fund a low income and energy efficiency fund, then applies to reduce stranded costs and/or rates at the PSC’s discretion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the environmental fund is targeted to receive about $50 million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securitization proceeds can be used to buy-out or buy-down QF contracts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Market Power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the bill has no effective market power test because the bill does not require utilities to divest generation resources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the market power test applies to only that portion of generating capacity that exceeds by 30% the relevant market (the lower or upper peninsulas are each a “relevant market”) generation that is not needed to provide service to each utility’s firm load, plus reserve margin – the utilities currently meet this test now and are unlikely to divest resources under this test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the market power test primarily causes problems for one of the upper peninsula utilities because of the size of one customer’s load – 330 MW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Merchant Plants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merchant plants are defined as plants greater than 100 kW in size that are not owned by the utility 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if a utility affiliate owns a plant greater than 100 kW, it falls within the merchant plant definition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merchant plant output can be sold directly to a retail customer but then the merchant plant owner is an alternative electric supplier and must be licensed with the PSC under its licensing requirements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merchant plants must be permitted reasonable and timely access to the utilities’ grids – there is no such requirement for generating plants below 100 kW in size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self-service power does not have transition charges attached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affiliate wheeling (one self-gen site to another site owned by the same company) is permitted and does not have transition charges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private non-utility distribution systems are permitted as long as they stay on private property and are not offered to serve the general public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private non-utility distribution systems may cross public rights of way 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costs of connecting merchant plant to the utility can be allocated by the PSC to either the plant owner or the utility (default is the merchant plant owner)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Transmission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utilities in the lower peninsula must increase available transmission capability by at least 2000 MW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cost of transmission upgrades will be collected from customers through either FERC or state regulated rates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2000-05-31T13:40:00Z</dcterms:created>
  <dc:creator>Roy Boston</dc:creator>
  <dc:description/>
  <dc:language>en-CA</dc:language>
  <cp:lastModifiedBy>Roy Boston</cp:lastModifiedBy>
  <dcterms:modified xsi:type="dcterms:W3CDTF">2000-05-31T13:40:00Z</dcterms:modified>
  <cp:revision>2</cp:revision>
  <dc:subject/>
  <dc:title>Description of SB 937 and Amendments as Passed by the State Senate </dc:title>
</cp:coreProperties>
</file>