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214725799"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Ann Ballard and Keith Fullenweider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Granite Update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27, 2000</w:t>
            </w:r>
          </w:p>
        </w:tc>
      </w:tr>
    </w:tbl>
    <w:p>
      <w:pPr>
        <w:pStyle w:val="Body"/>
        <w:rPr>
          <w:color w:val="auto"/>
        </w:rPr>
      </w:pPr>
      <w:r>
        <w:rPr>
          <w:color w:val="auto"/>
        </w:rPr>
      </w:r>
      <w:bookmarkStart w:id="3" w:name="StartOfMemo"/>
      <w:bookmarkStart w:id="4" w:name="StartOfMemo"/>
      <w:bookmarkEnd w:id="4"/>
    </w:p>
    <w:p>
      <w:pPr>
        <w:pStyle w:val="Body"/>
        <w:rPr/>
      </w:pPr>
      <w:r>
        <w:rPr>
          <w:color w:val="auto"/>
        </w:rPr>
        <w:t>The parties to the OPUC’s review of Sierra’s acquisition of PGE met this afternoon and evening to discuss settlement.  The meeting was generally positive as agreement was reached on a number of conditon on approval of the acquisition.  However, a dispositive agreement was not reached on Staff’s key substantive issues—</w:t>
      </w:r>
      <w:r>
        <w:rPr>
          <w:i/>
          <w:color w:val="auto"/>
        </w:rPr>
        <w:t>viz.</w:t>
      </w:r>
      <w:r>
        <w:rPr>
          <w:color w:val="auto"/>
        </w:rPr>
        <w:t xml:space="preserve">, (a) rate treatment for PGE; (b) maintaining PGE’s current reliability and customer service; (c) financial stability.  </w:t>
      </w:r>
    </w:p>
    <w:p>
      <w:pPr>
        <w:pStyle w:val="Body"/>
        <w:rPr>
          <w:color w:val="auto"/>
        </w:rPr>
      </w:pPr>
      <w:r>
        <w:rPr>
          <w:color w:val="auto"/>
        </w:rPr>
      </w:r>
    </w:p>
    <w:p>
      <w:pPr>
        <w:pStyle w:val="Body"/>
        <w:rPr>
          <w:color w:val="auto"/>
        </w:rPr>
      </w:pPr>
      <w:r>
        <w:rPr>
          <w:color w:val="auto"/>
        </w:rPr>
        <w:t>At this juncture it appears that the parties will not meet again in collective settlement discussions until mid-May.  OPUC Staff requested this time frame so they could draft their testimony and further develop their case.  In the interim, Staff and the parties will continue working on a number of additional conditions on approval.  The great majority of these conditions, which include rules for affiliate transactions, appear to be non-controversial.</w:t>
      </w:r>
    </w:p>
    <w:p>
      <w:pPr>
        <w:pStyle w:val="Body"/>
        <w:rPr>
          <w:color w:val="auto"/>
        </w:rPr>
      </w:pPr>
      <w:r>
        <w:rPr>
          <w:color w:val="auto"/>
        </w:rPr>
      </w:r>
    </w:p>
    <w:p>
      <w:pPr>
        <w:pStyle w:val="Body"/>
        <w:rPr>
          <w:color w:val="auto"/>
        </w:rPr>
      </w:pPr>
      <w:r>
        <w:rPr>
          <w:color w:val="auto"/>
          <w:u w:val="single"/>
        </w:rPr>
        <w:t>Accepted Conditions</w:t>
      </w:r>
    </w:p>
    <w:p>
      <w:pPr>
        <w:pStyle w:val="Body"/>
        <w:rPr>
          <w:color w:val="auto"/>
        </w:rPr>
      </w:pPr>
      <w:r>
        <w:rPr>
          <w:color w:val="auto"/>
        </w:rPr>
      </w:r>
    </w:p>
    <w:p>
      <w:pPr>
        <w:pStyle w:val="Body"/>
        <w:rPr>
          <w:color w:val="auto"/>
        </w:rPr>
      </w:pPr>
      <w:r>
        <w:rPr>
          <w:color w:val="auto"/>
        </w:rPr>
        <w:t xml:space="preserve">Agreement was reached on conditions that address the following:  </w:t>
      </w:r>
    </w:p>
    <w:p>
      <w:pPr>
        <w:pStyle w:val="Body"/>
        <w:rPr>
          <w:color w:val="auto"/>
        </w:rPr>
      </w:pPr>
      <w:r>
        <w:rPr>
          <w:color w:val="auto"/>
        </w:rPr>
      </w:r>
    </w:p>
    <w:p>
      <w:pPr>
        <w:pStyle w:val="Body"/>
        <w:numPr>
          <w:ilvl w:val="0"/>
          <w:numId w:val="3"/>
        </w:numPr>
        <w:rPr>
          <w:color w:val="auto"/>
        </w:rPr>
      </w:pPr>
      <w:r>
        <w:rPr>
          <w:color w:val="auto"/>
        </w:rPr>
        <w:t>Location of PGE’s accounting records and separation of those records from Sierra</w:t>
      </w:r>
    </w:p>
    <w:p>
      <w:pPr>
        <w:pStyle w:val="Body"/>
        <w:rPr>
          <w:color w:val="auto"/>
        </w:rPr>
      </w:pPr>
      <w:r>
        <w:rPr>
          <w:color w:val="auto"/>
        </w:rPr>
      </w:r>
    </w:p>
    <w:p>
      <w:pPr>
        <w:pStyle w:val="Body"/>
        <w:numPr>
          <w:ilvl w:val="0"/>
          <w:numId w:val="3"/>
        </w:numPr>
        <w:rPr>
          <w:color w:val="auto"/>
        </w:rPr>
      </w:pPr>
      <w:r>
        <w:rPr>
          <w:color w:val="auto"/>
        </w:rPr>
        <w:t>Exclusion of transaction costs (associated with the transaction) from PGE’s utility accounts.  Final accounting of transaction costs.</w:t>
      </w:r>
    </w:p>
    <w:p>
      <w:pPr>
        <w:pStyle w:val="Body"/>
        <w:ind w:start="0" w:end="0"/>
        <w:rPr>
          <w:color w:val="auto"/>
        </w:rPr>
      </w:pPr>
      <w:r>
        <w:rPr>
          <w:color w:val="auto"/>
        </w:rPr>
      </w:r>
    </w:p>
    <w:p>
      <w:pPr>
        <w:pStyle w:val="Body"/>
        <w:numPr>
          <w:ilvl w:val="0"/>
          <w:numId w:val="3"/>
        </w:numPr>
        <w:rPr>
          <w:color w:val="auto"/>
        </w:rPr>
      </w:pPr>
      <w:r>
        <w:rPr>
          <w:color w:val="auto"/>
        </w:rPr>
        <w:t>Maintenance of separate credit ratings.</w:t>
      </w:r>
    </w:p>
    <w:p>
      <w:pPr>
        <w:pStyle w:val="Body"/>
        <w:ind w:start="0" w:end="0"/>
        <w:rPr>
          <w:color w:val="auto"/>
        </w:rPr>
      </w:pPr>
      <w:r>
        <w:rPr>
          <w:color w:val="auto"/>
        </w:rPr>
      </w:r>
    </w:p>
    <w:p>
      <w:pPr>
        <w:pStyle w:val="Body"/>
        <w:numPr>
          <w:ilvl w:val="0"/>
          <w:numId w:val="3"/>
        </w:numPr>
        <w:rPr>
          <w:color w:val="auto"/>
        </w:rPr>
      </w:pPr>
      <w:r>
        <w:rPr>
          <w:color w:val="auto"/>
        </w:rPr>
        <w:t>Prohibition against distributions that reduce PGE’s common equity capital below 48% of PGE’s total capital.</w:t>
      </w:r>
    </w:p>
    <w:p>
      <w:pPr>
        <w:pStyle w:val="Body"/>
        <w:ind w:start="0" w:end="0"/>
        <w:rPr>
          <w:color w:val="auto"/>
        </w:rPr>
      </w:pPr>
      <w:r>
        <w:rPr>
          <w:color w:val="auto"/>
        </w:rPr>
      </w:r>
    </w:p>
    <w:p>
      <w:pPr>
        <w:pStyle w:val="Body"/>
        <w:numPr>
          <w:ilvl w:val="0"/>
          <w:numId w:val="3"/>
        </w:numPr>
        <w:rPr>
          <w:color w:val="auto"/>
        </w:rPr>
      </w:pPr>
      <w:r>
        <w:rPr>
          <w:color w:val="auto"/>
        </w:rPr>
        <w:t>Agreement that PGE will not allow return on common equity or costs of capital to rise as a result of the transaction.</w:t>
      </w:r>
    </w:p>
    <w:p>
      <w:pPr>
        <w:pStyle w:val="Body"/>
        <w:ind w:start="0" w:end="0"/>
        <w:rPr>
          <w:color w:val="auto"/>
        </w:rPr>
      </w:pPr>
      <w:r>
        <w:rPr>
          <w:color w:val="auto"/>
        </w:rPr>
      </w:r>
    </w:p>
    <w:p>
      <w:pPr>
        <w:pStyle w:val="Body"/>
        <w:numPr>
          <w:ilvl w:val="0"/>
          <w:numId w:val="3"/>
        </w:numPr>
        <w:rPr>
          <w:color w:val="auto"/>
        </w:rPr>
      </w:pPr>
      <w:r>
        <w:rPr>
          <w:color w:val="auto"/>
        </w:rPr>
        <w:t>Disclosure of dividend declarations transfer of retained earnings, etc.</w:t>
      </w:r>
    </w:p>
    <w:p>
      <w:pPr>
        <w:pStyle w:val="Body"/>
        <w:ind w:start="0" w:end="0"/>
        <w:rPr>
          <w:color w:val="auto"/>
        </w:rPr>
      </w:pPr>
      <w:r>
        <w:rPr>
          <w:color w:val="auto"/>
        </w:rPr>
      </w:r>
    </w:p>
    <w:p>
      <w:pPr>
        <w:pStyle w:val="Body"/>
        <w:numPr>
          <w:ilvl w:val="0"/>
          <w:numId w:val="3"/>
        </w:numPr>
        <w:rPr>
          <w:color w:val="auto"/>
        </w:rPr>
      </w:pPr>
      <w:r>
        <w:rPr>
          <w:color w:val="auto"/>
        </w:rPr>
        <w:t>Hold harmless from higher revenue requirements if acquisition of PGE results in higher costs.</w:t>
      </w:r>
    </w:p>
    <w:p>
      <w:pPr>
        <w:pStyle w:val="Body"/>
        <w:ind w:start="0" w:end="0"/>
        <w:rPr>
          <w:color w:val="auto"/>
        </w:rPr>
      </w:pPr>
      <w:r>
        <w:rPr>
          <w:color w:val="auto"/>
        </w:rPr>
      </w:r>
    </w:p>
    <w:p>
      <w:pPr>
        <w:pStyle w:val="Body"/>
        <w:numPr>
          <w:ilvl w:val="0"/>
          <w:numId w:val="3"/>
        </w:numPr>
        <w:rPr>
          <w:color w:val="auto"/>
        </w:rPr>
      </w:pPr>
      <w:r>
        <w:rPr>
          <w:color w:val="auto"/>
        </w:rPr>
        <w:t>Penalty provisions and the process for assessing penalties.</w:t>
      </w:r>
    </w:p>
    <w:p>
      <w:pPr>
        <w:pStyle w:val="Body"/>
        <w:ind w:start="0" w:end="0"/>
        <w:rPr>
          <w:color w:val="auto"/>
        </w:rPr>
      </w:pPr>
      <w:r>
        <w:rPr>
          <w:color w:val="auto"/>
        </w:rPr>
      </w:r>
    </w:p>
    <w:p>
      <w:pPr>
        <w:pStyle w:val="Body"/>
        <w:numPr>
          <w:ilvl w:val="0"/>
          <w:numId w:val="3"/>
        </w:numPr>
        <w:rPr>
          <w:color w:val="auto"/>
        </w:rPr>
      </w:pPr>
      <w:r>
        <w:rPr>
          <w:color w:val="auto"/>
        </w:rPr>
        <w:t>Carry-over of the remaining balance in the $105 million Enron payment.</w:t>
      </w:r>
    </w:p>
    <w:p>
      <w:pPr>
        <w:pStyle w:val="Body"/>
        <w:ind w:start="0" w:end="0"/>
        <w:rPr>
          <w:color w:val="auto"/>
        </w:rPr>
      </w:pPr>
      <w:r>
        <w:rPr>
          <w:color w:val="auto"/>
        </w:rPr>
      </w:r>
    </w:p>
    <w:p>
      <w:pPr>
        <w:pStyle w:val="Body"/>
        <w:ind w:start="0" w:end="0"/>
        <w:rPr>
          <w:color w:val="auto"/>
        </w:rPr>
      </w:pPr>
      <w:r>
        <w:rPr>
          <w:color w:val="auto"/>
        </w:rPr>
        <w:t xml:space="preserve">Note that these conditions were originally offered by Sierra in their application to acquire PGE.  </w:t>
      </w:r>
    </w:p>
    <w:p>
      <w:pPr>
        <w:pStyle w:val="Body"/>
        <w:ind w:start="0" w:end="0"/>
        <w:rPr>
          <w:color w:val="auto"/>
        </w:rPr>
      </w:pPr>
      <w:r>
        <w:rPr>
          <w:color w:val="auto"/>
        </w:rPr>
      </w:r>
    </w:p>
    <w:p>
      <w:pPr>
        <w:pStyle w:val="Body"/>
        <w:rPr/>
      </w:pPr>
      <w:r>
        <w:rPr>
          <w:color w:val="auto"/>
          <w:u w:val="single"/>
        </w:rPr>
        <w:t>Public Interest Stipulation</w:t>
      </w:r>
      <w:r>
        <w:rPr>
          <w:color w:val="auto"/>
        </w:rPr>
        <w:t>.</w:t>
      </w:r>
    </w:p>
    <w:p>
      <w:pPr>
        <w:pStyle w:val="Body"/>
        <w:rPr>
          <w:color w:val="auto"/>
          <w:u w:val="single"/>
        </w:rPr>
      </w:pPr>
      <w:r>
        <w:rPr>
          <w:color w:val="auto"/>
          <w:u w:val="single"/>
        </w:rPr>
      </w:r>
    </w:p>
    <w:p>
      <w:pPr>
        <w:pStyle w:val="Body"/>
        <w:rPr>
          <w:color w:val="auto"/>
        </w:rPr>
      </w:pPr>
      <w:r>
        <w:rPr>
          <w:color w:val="auto"/>
        </w:rPr>
        <w:t xml:space="preserve">PGE and Sierra have negotiated a stipulation with NRDC and other Pacific Northwest environmental groups, which addresses PGE’s performance of the obligations it assumed in the Memorandum of Understanding executed by PGE as part of the Enron/PGE merger.  The stipulation:  (1) declares that PGE met its obligations under the MOU; (2) reflects PGE’s promise to propose a rate decoupling mechanism in its next rate case; and (3) reflects PGE’s promise to continue to support fish and wildlife measures at its hydroelectric facilities.  The stipulation also reflects PGE’s agreement to develop a system benefits charge should implementation of Oregon’s restructuring statute fail. </w:t>
      </w:r>
    </w:p>
    <w:p>
      <w:pPr>
        <w:pStyle w:val="Body"/>
        <w:rPr>
          <w:color w:val="auto"/>
        </w:rPr>
      </w:pPr>
      <w:r>
        <w:rPr>
          <w:color w:val="auto"/>
        </w:rPr>
      </w:r>
    </w:p>
    <w:p>
      <w:pPr>
        <w:pStyle w:val="Body"/>
        <w:rPr>
          <w:color w:val="auto"/>
        </w:rPr>
      </w:pPr>
      <w:r>
        <w:rPr>
          <w:color w:val="auto"/>
        </w:rPr>
        <w:t xml:space="preserve">Staff and other parties indicated that they would review the stipulation.  </w:t>
      </w:r>
    </w:p>
    <w:p>
      <w:pPr>
        <w:pStyle w:val="Body"/>
        <w:rPr>
          <w:color w:val="auto"/>
        </w:rPr>
      </w:pPr>
      <w:r>
        <w:rPr>
          <w:color w:val="auto"/>
        </w:rPr>
      </w:r>
    </w:p>
    <w:p>
      <w:pPr>
        <w:pStyle w:val="Body"/>
        <w:rPr>
          <w:color w:val="auto"/>
        </w:rPr>
      </w:pPr>
      <w:r>
        <w:rPr>
          <w:color w:val="auto"/>
          <w:u w:val="single"/>
        </w:rPr>
        <w:t>Maintaining PGE’s Current Customer Service and Reliability Ratings</w:t>
      </w:r>
    </w:p>
    <w:p>
      <w:pPr>
        <w:pStyle w:val="Body"/>
        <w:rPr>
          <w:color w:val="auto"/>
        </w:rPr>
      </w:pPr>
      <w:r>
        <w:rPr>
          <w:color w:val="auto"/>
        </w:rPr>
      </w:r>
    </w:p>
    <w:p>
      <w:pPr>
        <w:pStyle w:val="Body"/>
        <w:rPr>
          <w:color w:val="auto"/>
        </w:rPr>
      </w:pPr>
      <w:r>
        <w:rPr>
          <w:color w:val="auto"/>
        </w:rPr>
        <w:t xml:space="preserve">Over the past week, Staff has been pressuring PGE to accept the customer service and reliability commitments/penalty program that was imposed on PacifiCorp in their merger with Scottish Power.  This pressure is not based on PGE’s failure to maintain reliability and provide customer service, but rather on the perception that additional conditions are necessary to maintain PGE’s current level of performance.  During the settlement conference today, staff split on the question of whether Sierra could show benefit and protection against harm without adopting the PacifiCorp program.  </w:t>
      </w:r>
    </w:p>
    <w:p>
      <w:pPr>
        <w:pStyle w:val="Body"/>
        <w:rPr>
          <w:color w:val="auto"/>
        </w:rPr>
      </w:pPr>
      <w:r>
        <w:rPr>
          <w:color w:val="auto"/>
        </w:rPr>
      </w:r>
    </w:p>
    <w:p>
      <w:pPr>
        <w:pStyle w:val="Body"/>
        <w:rPr>
          <w:color w:val="auto"/>
        </w:rPr>
      </w:pPr>
      <w:r>
        <w:rPr>
          <w:color w:val="auto"/>
        </w:rPr>
        <w:t xml:space="preserve">While final agreement was not reached on the specifics of a customer service and reliability condition, Staff agreed to draft a condition that reflects PGE’s current practices and require PGE to propose a system of performance guarantees if PGE’s performance in the reliability and customer service area falter.  Staff’s condition will be circulated among the parties.  We are hopeful that agreement can be reached on Staff’s condition.  </w:t>
      </w:r>
    </w:p>
    <w:p>
      <w:pPr>
        <w:pStyle w:val="Body"/>
        <w:rPr>
          <w:color w:val="auto"/>
        </w:rPr>
      </w:pPr>
      <w:r>
        <w:rPr>
          <w:color w:val="auto"/>
        </w:rPr>
      </w:r>
    </w:p>
    <w:p>
      <w:pPr>
        <w:pStyle w:val="Body"/>
        <w:rPr>
          <w:color w:val="auto"/>
        </w:rPr>
      </w:pPr>
      <w:r>
        <w:rPr>
          <w:color w:val="auto"/>
          <w:u w:val="single"/>
        </w:rPr>
        <w:t>Rate Conditions</w:t>
      </w:r>
    </w:p>
    <w:p>
      <w:pPr>
        <w:pStyle w:val="Body"/>
        <w:rPr>
          <w:color w:val="auto"/>
        </w:rPr>
      </w:pPr>
      <w:r>
        <w:rPr>
          <w:color w:val="auto"/>
        </w:rPr>
      </w:r>
    </w:p>
    <w:p>
      <w:pPr>
        <w:pStyle w:val="Body"/>
        <w:rPr/>
      </w:pPr>
      <w:r>
        <w:rPr>
          <w:color w:val="auto"/>
        </w:rPr>
        <w:t>Late Tuesday Sierra circulated its third proposal for a rate condition that would apply to their acquisition of PGE.  The rate condition was modeled after the approach taken by the OPUC in its approval of Washington Water Power’s acquisition of CP National’s Oregon gas properties.  In essence, the condition:  (1) fixes PGE’s rates for a five-year period following the SB 1149 rate case scheduled to begin this fall; (2) allows PGE to “overearn” or “underearn” relative to its authorized rate of return during the five-year period; (3) establishes a band around the authorized return to protect PGE; (4) excludes fuel and purchased power from the freeze; and (5) seeks the agreement of other parties to develop an incentive ratemaking approach that would provide PGE with an opportunity to recover “remaining acquisition costs”—</w:t>
      </w:r>
      <w:r>
        <w:rPr>
          <w:i/>
          <w:color w:val="auto"/>
        </w:rPr>
        <w:t>i.e.</w:t>
      </w:r>
      <w:r>
        <w:rPr>
          <w:color w:val="auto"/>
        </w:rPr>
        <w:t xml:space="preserve">, goodwill.  </w:t>
      </w:r>
    </w:p>
    <w:p>
      <w:pPr>
        <w:pStyle w:val="Body"/>
        <w:rPr>
          <w:color w:val="auto"/>
        </w:rPr>
      </w:pPr>
      <w:r>
        <w:rPr>
          <w:color w:val="auto"/>
        </w:rPr>
      </w:r>
    </w:p>
    <w:p>
      <w:pPr>
        <w:pStyle w:val="Body"/>
        <w:rPr>
          <w:color w:val="auto"/>
        </w:rPr>
      </w:pPr>
      <w:r>
        <w:rPr>
          <w:color w:val="auto"/>
        </w:rPr>
        <w:t>Sierra’s last two proposals for a rate condition were rejected by the parties.  Thus, it is positive that the parties accepted the general structure of Sierra’s third rate proposal. On the negative side, however, Staff, CUB and ICNU each identified significant concerns with the proposal.  The concerns are as follows:</w:t>
      </w:r>
    </w:p>
    <w:p>
      <w:pPr>
        <w:pStyle w:val="Body"/>
        <w:rPr>
          <w:color w:val="auto"/>
        </w:rPr>
      </w:pPr>
      <w:r>
        <w:rPr>
          <w:color w:val="auto"/>
        </w:rPr>
      </w:r>
    </w:p>
    <w:tbl>
      <w:tblPr>
        <w:tblW w:w="8820" w:type="dxa"/>
        <w:jc w:val="start"/>
        <w:tblInd w:w="1458" w:type="dxa"/>
        <w:tblLayout w:type="fixed"/>
        <w:tblCellMar>
          <w:top w:w="0" w:type="dxa"/>
          <w:start w:w="108" w:type="dxa"/>
          <w:bottom w:w="0" w:type="dxa"/>
          <w:end w:w="108" w:type="dxa"/>
        </w:tblCellMar>
      </w:tblPr>
      <w:tblGrid>
        <w:gridCol w:w="2340"/>
        <w:gridCol w:w="6480"/>
      </w:tblGrid>
      <w:tr>
        <w:trPr/>
        <w:tc>
          <w:tcPr>
            <w:tcW w:w="234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Party</w:t>
            </w:r>
          </w:p>
        </w:tc>
        <w:tc>
          <w:tcPr>
            <w:tcW w:w="648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Concern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Staff</w:t>
            </w:r>
          </w:p>
        </w:tc>
        <w:tc>
          <w:tcPr>
            <w:tcW w:w="648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Staff appears to support the notion that a rate freeze has value.  However, Staff intended to revisit the issue of value given comments by CUB—see below.</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color w:val="auto"/>
              </w:rPr>
            </w:pPr>
            <w:r>
              <w:rPr>
                <w:color w:val="auto"/>
              </w:rPr>
            </w:r>
          </w:p>
        </w:tc>
        <w:tc>
          <w:tcPr>
            <w:tcW w:w="648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Sierra should not be allowed to recover its “remaining acquisition costs.”</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color w:val="auto"/>
              </w:rPr>
            </w:pPr>
            <w:r>
              <w:rPr>
                <w:color w:val="auto"/>
              </w:rPr>
            </w:r>
          </w:p>
        </w:tc>
        <w:tc>
          <w:tcPr>
            <w:tcW w:w="648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Staff should not bear the burden of challenge PGE’s earnings after the end of the five-year period.  Under Oregon law, Staff can file a “show cause” action against a utility, which if successful requires the utility to defend its rates.  However, Oregon law generally places the burden of going forward on the Staff.</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color w:val="auto"/>
              </w:rPr>
            </w:pPr>
            <w:r>
              <w:rPr>
                <w:color w:val="auto"/>
              </w:rPr>
            </w:r>
          </w:p>
        </w:tc>
        <w:tc>
          <w:tcPr>
            <w:tcW w:w="648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Staff should not bear the burden of proving that the rate of return band was violated during the five-year period.</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color w:val="auto"/>
              </w:rPr>
            </w:pPr>
            <w:r>
              <w:rPr>
                <w:color w:val="auto"/>
              </w:rPr>
            </w:r>
          </w:p>
        </w:tc>
        <w:tc>
          <w:tcPr>
            <w:tcW w:w="648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What is the effect of an asset sale during the freeze?  In Washington state, Puget Sound Energy argued that all gain from the sale of Colstrip belong to Puget’s shareholders during a rate freeze accepted by Puget as a condition on their acquisition of Washington Natural Gas Company.</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color w:val="auto"/>
              </w:rPr>
            </w:pPr>
            <w:r>
              <w:rPr>
                <w:color w:val="auto"/>
              </w:rPr>
            </w:r>
          </w:p>
        </w:tc>
        <w:tc>
          <w:tcPr>
            <w:tcW w:w="648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PGE’s proposal to exclude power costs from the rate freeze requires further study.</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CUB</w:t>
            </w:r>
          </w:p>
        </w:tc>
        <w:tc>
          <w:tcPr>
            <w:tcW w:w="648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PGE should not be given an incentive by the rate freeze to reduce its commitment to customer service or reliability.</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ICNU</w:t>
            </w:r>
          </w:p>
        </w:tc>
        <w:tc>
          <w:tcPr>
            <w:tcW w:w="6480" w:type="dxa"/>
            <w:tcBorders>
              <w:top w:val="single" w:sz="4" w:space="0" w:color="000000"/>
              <w:start w:val="single" w:sz="4" w:space="0" w:color="000000"/>
              <w:bottom w:val="single" w:sz="4" w:space="0" w:color="000000"/>
              <w:end w:val="single" w:sz="4" w:space="0" w:color="000000"/>
            </w:tcBorders>
          </w:tcPr>
          <w:p>
            <w:pPr>
              <w:pStyle w:val="Body"/>
              <w:ind w:start="0" w:end="0"/>
              <w:rPr>
                <w:color w:val="auto"/>
              </w:rPr>
            </w:pPr>
            <w:r>
              <w:rPr>
                <w:color w:val="auto"/>
              </w:rPr>
              <w:t>The proposal should be separately determined for each unbundled service (such as generation and distribution).</w:t>
            </w:r>
          </w:p>
        </w:tc>
      </w:tr>
    </w:tbl>
    <w:p>
      <w:pPr>
        <w:pStyle w:val="Body"/>
        <w:rPr>
          <w:color w:val="auto"/>
        </w:rPr>
      </w:pPr>
      <w:r>
        <w:rPr>
          <w:color w:val="auto"/>
        </w:rPr>
      </w:r>
    </w:p>
    <w:p>
      <w:pPr>
        <w:pStyle w:val="Body"/>
        <w:rPr>
          <w:color w:val="auto"/>
        </w:rPr>
      </w:pPr>
      <w:r>
        <w:rPr>
          <w:color w:val="auto"/>
        </w:rPr>
        <w:t>The rate condition will be addressed in Staff’s testimony.  As discussed above, we expect negotiations to continue in mid-May following circulation that testimony in draft.</w:t>
      </w:r>
    </w:p>
    <w:p>
      <w:pPr>
        <w:pStyle w:val="Body"/>
        <w:rPr>
          <w:color w:val="auto"/>
        </w:rPr>
      </w:pPr>
      <w:r>
        <w:rPr>
          <w:color w:val="auto"/>
        </w:rPr>
      </w:r>
    </w:p>
    <w:p>
      <w:pPr>
        <w:pStyle w:val="Body"/>
        <w:rPr/>
      </w:pPr>
      <w:r>
        <w:rPr>
          <w:color w:val="auto"/>
          <w:u w:val="single"/>
        </w:rPr>
        <w:t>New Conditions</w:t>
      </w:r>
      <w:r>
        <w:rPr>
          <w:color w:val="auto"/>
        </w:rPr>
        <w:t xml:space="preserve">  </w:t>
      </w:r>
    </w:p>
    <w:p>
      <w:pPr>
        <w:pStyle w:val="Body"/>
        <w:rPr>
          <w:color w:val="auto"/>
        </w:rPr>
      </w:pPr>
      <w:r>
        <w:rPr>
          <w:color w:val="auto"/>
        </w:rPr>
      </w:r>
    </w:p>
    <w:p>
      <w:pPr>
        <w:pStyle w:val="Body"/>
        <w:rPr>
          <w:color w:val="auto"/>
        </w:rPr>
      </w:pPr>
      <w:r>
        <w:rPr>
          <w:color w:val="auto"/>
        </w:rPr>
        <w:t>Staff discussed a number of new conditions for the sale.  These conditions are as follows:</w:t>
      </w:r>
    </w:p>
    <w:p>
      <w:pPr>
        <w:pStyle w:val="Body"/>
        <w:rPr>
          <w:color w:val="auto"/>
        </w:rPr>
      </w:pPr>
      <w:r>
        <w:rPr>
          <w:color w:val="auto"/>
        </w:rPr>
      </w:r>
    </w:p>
    <w:p>
      <w:pPr>
        <w:pStyle w:val="Body"/>
        <w:numPr>
          <w:ilvl w:val="0"/>
          <w:numId w:val="2"/>
        </w:numPr>
        <w:rPr>
          <w:color w:val="auto"/>
        </w:rPr>
      </w:pPr>
      <w:r>
        <w:rPr>
          <w:color w:val="auto"/>
        </w:rPr>
        <w:t>A prohibition against PGE declaring more than 80% of its quarterly earnings as dividends.</w:t>
      </w:r>
    </w:p>
    <w:p>
      <w:pPr>
        <w:pStyle w:val="Body"/>
        <w:rPr>
          <w:color w:val="auto"/>
        </w:rPr>
      </w:pPr>
      <w:r>
        <w:rPr>
          <w:color w:val="auto"/>
        </w:rPr>
      </w:r>
    </w:p>
    <w:p>
      <w:pPr>
        <w:pStyle w:val="Body"/>
        <w:numPr>
          <w:ilvl w:val="0"/>
          <w:numId w:val="2"/>
        </w:numPr>
        <w:rPr>
          <w:color w:val="auto"/>
        </w:rPr>
      </w:pPr>
      <w:r>
        <w:rPr>
          <w:color w:val="auto"/>
        </w:rPr>
        <w:t>A provision that will prevent PGE from providing PGE’s inexpensive power supply to Sierra.  Note that a similar provision was imposed on PacifiCorp in its acquisition of Utah Power &amp; Light Company.</w:t>
      </w:r>
    </w:p>
    <w:p>
      <w:pPr>
        <w:pStyle w:val="Body"/>
        <w:ind w:start="0" w:end="0"/>
        <w:rPr>
          <w:color w:val="auto"/>
        </w:rPr>
      </w:pPr>
      <w:r>
        <w:rPr>
          <w:color w:val="auto"/>
        </w:rPr>
      </w:r>
    </w:p>
    <w:p>
      <w:pPr>
        <w:pStyle w:val="Body"/>
        <w:numPr>
          <w:ilvl w:val="0"/>
          <w:numId w:val="2"/>
        </w:numPr>
        <w:rPr>
          <w:color w:val="auto"/>
        </w:rPr>
      </w:pPr>
      <w:r>
        <w:rPr>
          <w:color w:val="auto"/>
        </w:rPr>
        <w:t xml:space="preserve">A condition that would prevent Sierra from seeking recovery in Oregon of any costs unrecovered because of an inter-jurisdictional dispute.  </w:t>
      </w:r>
    </w:p>
    <w:p>
      <w:pPr>
        <w:pStyle w:val="Body"/>
        <w:ind w:start="0" w:end="0"/>
        <w:rPr>
          <w:color w:val="auto"/>
        </w:rPr>
      </w:pPr>
      <w:r>
        <w:rPr>
          <w:color w:val="auto"/>
        </w:rPr>
      </w:r>
    </w:p>
    <w:p>
      <w:pPr>
        <w:pStyle w:val="Body"/>
        <w:rPr>
          <w:color w:val="auto"/>
        </w:rPr>
      </w:pPr>
      <w:r>
        <w:rPr>
          <w:color w:val="auto"/>
        </w:rPr>
        <w:t>These conditions, at least in concept, were not controversial.  Mark Ruelle will discuss the provisions affecting distribution of quarterly earnings with OPUC Staff.</w:t>
      </w:r>
    </w:p>
    <w:p>
      <w:pPr>
        <w:pStyle w:val="Body"/>
        <w:rPr>
          <w:color w:val="auto"/>
        </w:rPr>
      </w:pPr>
      <w:r>
        <w:rPr>
          <w:color w:val="auto"/>
        </w:rPr>
      </w:r>
    </w:p>
    <w:p>
      <w:pPr>
        <w:pStyle w:val="Body"/>
        <w:rPr>
          <w:color w:val="auto"/>
        </w:rPr>
      </w:pPr>
      <w:r>
        <w:rPr>
          <w:color w:val="auto"/>
          <w:u w:val="single"/>
        </w:rPr>
        <w:t>Remaining conditions</w:t>
      </w:r>
    </w:p>
    <w:p>
      <w:pPr>
        <w:pStyle w:val="Body"/>
        <w:rPr>
          <w:color w:val="auto"/>
        </w:rPr>
      </w:pPr>
      <w:r>
        <w:rPr>
          <w:color w:val="auto"/>
        </w:rPr>
      </w:r>
    </w:p>
    <w:p>
      <w:pPr>
        <w:pStyle w:val="Body"/>
        <w:rPr>
          <w:color w:val="auto"/>
        </w:rPr>
      </w:pPr>
      <w:r>
        <w:rPr>
          <w:color w:val="auto"/>
        </w:rPr>
        <w:t>Staff agreed to circulate its redraft of the remaining non-rate conditions by the middle of next week.  These conditions did not appear to be controversial.</w:t>
      </w:r>
    </w:p>
    <w:p>
      <w:pPr>
        <w:pStyle w:val="Body"/>
        <w:rPr>
          <w:color w:val="auto"/>
        </w:rPr>
      </w:pPr>
      <w:r>
        <w:rPr>
          <w:color w:val="auto"/>
        </w:rPr>
      </w:r>
    </w:p>
    <w:p>
      <w:pPr>
        <w:pStyle w:val="Body"/>
        <w:jc w:val="center"/>
        <w:rPr>
          <w:color w:val="auto"/>
        </w:rPr>
      </w:pPr>
      <w:r>
        <w:rPr>
          <w:color w:val="auto"/>
        </w:rPr>
        <w:t>^^^</w:t>
      </w:r>
    </w:p>
    <w:p>
      <w:pPr>
        <w:pStyle w:val="Body"/>
        <w:jc w:val="center"/>
        <w:rPr>
          <w:color w:val="auto"/>
        </w:rPr>
      </w:pPr>
      <w:r>
        <w:rPr>
          <w:color w:val="auto"/>
        </w:rPr>
      </w:r>
    </w:p>
    <w:p>
      <w:pPr>
        <w:pStyle w:val="Body"/>
        <w:rPr>
          <w:color w:val="auto"/>
        </w:rPr>
      </w:pPr>
      <w:r>
        <w:rPr>
          <w:color w:val="auto"/>
        </w:rPr>
        <w:t>Please call me if you have any questions concerning this memorandum.  Please contact me if you want a copy of Sierra’s third rate proposal.</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437"/>
        </w:tabs>
        <w:ind w:start="1437"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2000-04-28T02:54:00Z</dcterms:created>
  <dc:creator>Jeff Ford</dc:creator>
  <dc:description/>
  <dc:language>en-CA</dc:language>
  <cp:lastModifiedBy>pkaufma</cp:lastModifiedBy>
  <cp:lastPrinted>2000-02-02T06:48:00Z</cp:lastPrinted>
  <dcterms:modified xsi:type="dcterms:W3CDTF">2000-04-28T15:14:00Z</dcterms:modified>
  <cp:revision>7</cp:revision>
  <dc:subject>Comments on Load Forecasting/Data Requirements Proposed Regulations</dc:subject>
  <dc:title>Eron Capital &amp; Trade Resources Memo</dc:title>
</cp:coreProperties>
</file>