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bookmarkStart w:id="0" w:name="_986796794"/>
      <w:bookmarkEnd w:id="0"/>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7.95pt;height:78.9pt" filled="f" o:ole="">
            <v:imagedata r:id="rId3" o:title=""/>
          </v:shape>
          <o:OLEObject Type="Embed" ProgID="" ShapeID="ole_rId2" DrawAspect="Content" ObjectID="_62021362" r:id="rId2"/>
        </w:object>
      </w:r>
    </w:p>
    <w:p>
      <w:pPr>
        <w:pStyle w:val="Heading"/>
        <w:rPr/>
      </w:pPr>
      <w:r>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Keith Fullenweider and Ann Ballard</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Paul Kaufman</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p>
            <w:pPr>
              <w:pStyle w:val="Normal"/>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Granite Update</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April 12, 2000</w:t>
            </w:r>
          </w:p>
        </w:tc>
      </w:tr>
    </w:tbl>
    <w:p>
      <w:pPr>
        <w:pStyle w:val="Body"/>
        <w:rPr>
          <w:color w:val="auto"/>
        </w:rPr>
      </w:pPr>
      <w:r>
        <w:rPr>
          <w:color w:val="auto"/>
        </w:rPr>
      </w:r>
      <w:bookmarkStart w:id="3" w:name="StartOfMemo"/>
      <w:bookmarkStart w:id="4" w:name="StartOfMemo"/>
      <w:bookmarkEnd w:id="4"/>
    </w:p>
    <w:p>
      <w:pPr>
        <w:pStyle w:val="Body"/>
        <w:rPr>
          <w:color w:val="auto"/>
        </w:rPr>
      </w:pPr>
      <w:r>
        <w:rPr>
          <w:color w:val="auto"/>
          <w:u w:val="single"/>
        </w:rPr>
        <w:t>OPUC Proceeding</w:t>
      </w:r>
    </w:p>
    <w:p>
      <w:pPr>
        <w:pStyle w:val="Body"/>
        <w:rPr>
          <w:color w:val="auto"/>
        </w:rPr>
      </w:pPr>
      <w:r>
        <w:rPr>
          <w:color w:val="auto"/>
        </w:rPr>
      </w:r>
    </w:p>
    <w:p>
      <w:pPr>
        <w:pStyle w:val="Normal"/>
        <w:rPr>
          <w:sz w:val="20"/>
        </w:rPr>
      </w:pPr>
      <w:r>
        <w:rPr>
          <w:sz w:val="20"/>
        </w:rPr>
        <w:t>Discovery Dispute.  We have resolved the issues raised in the discovery dispute reported in the last update.  As indicated in an e-mail distributed to the group, we have agreed to a 30-day delay in the proceeding.  The OPUC has not yet ruled on the new schedule.   We understand that Sierra will withdraw the request for a Super Protective order as another indication for Staff that future discovery efforts will not be delayed.</w:t>
      </w:r>
    </w:p>
    <w:p>
      <w:pPr>
        <w:pStyle w:val="Normal"/>
        <w:rPr>
          <w:sz w:val="20"/>
        </w:rPr>
      </w:pPr>
      <w:r>
        <w:rPr>
          <w:sz w:val="20"/>
        </w:rPr>
      </w:r>
    </w:p>
    <w:p>
      <w:pPr>
        <w:pStyle w:val="Normal"/>
        <w:rPr>
          <w:sz w:val="20"/>
        </w:rPr>
      </w:pPr>
      <w:r>
        <w:rPr>
          <w:sz w:val="20"/>
        </w:rPr>
        <w:t xml:space="preserve">Concerns re: credibility.  Malyn Malquist and Peggy Fowler are scheduled to meet with Bill Warren, the OPUC chief of staff, this afternoon.  Along with Sierra’s local counsel we will brief Peggy and Malyn this afternoon.  The goal of this meeting is to:  (1) improve Staff’s perception of Sierra; and (2) give Staff comfort that it will be business as usual for the OPUC and PGE after the sale closes.  </w:t>
      </w:r>
    </w:p>
    <w:p>
      <w:pPr>
        <w:pStyle w:val="Normal"/>
        <w:rPr>
          <w:sz w:val="20"/>
        </w:rPr>
      </w:pPr>
      <w:r>
        <w:rPr>
          <w:sz w:val="20"/>
        </w:rPr>
      </w:r>
    </w:p>
    <w:p>
      <w:pPr>
        <w:pStyle w:val="Normal"/>
        <w:rPr>
          <w:sz w:val="20"/>
        </w:rPr>
      </w:pPr>
      <w:r>
        <w:rPr>
          <w:sz w:val="20"/>
        </w:rPr>
        <w:t>Service Quality Stipulation.  Staff,  PGE and Sierra have executed a stipulation on reliability and service quality.  This stipulation sets the standards for implementing the service quality measures adopted as a result of the Enron/PGE merger.  Sierra’s signature on the stipulation means that they will continue the measures adopted in the prior merger after the sale of PGE closes.</w:t>
      </w:r>
    </w:p>
    <w:p>
      <w:pPr>
        <w:pStyle w:val="Normal"/>
        <w:rPr>
          <w:sz w:val="20"/>
        </w:rPr>
      </w:pPr>
      <w:r>
        <w:rPr>
          <w:sz w:val="20"/>
        </w:rPr>
      </w:r>
    </w:p>
    <w:p>
      <w:pPr>
        <w:pStyle w:val="Normal"/>
        <w:rPr>
          <w:sz w:val="20"/>
        </w:rPr>
      </w:pPr>
      <w:r>
        <w:rPr>
          <w:sz w:val="20"/>
        </w:rPr>
        <w:t>The 20 Conditions Stipulation.  We are working with Sierra to close the gap on a large number of the remaining  conditions offered by Sierra to address a variety of concerns with the acquisition (e.g., PGE maintaining a separate credit rating).  OPUC Staff imposed these conditions originally in the Enron/PGE merger (and later in the Scottish Power/ PacifiCorp merger).  Recall that Sierra affirmatively offered to live with these conditions as part of their application for authority to acquire PGE.  The effect of this approach will be twofold:  (1) the push towards settlement will show parties that Sierra is inclined to seek settlement rather than litigate matters; and (2) we will limit the number of matters at issue in this case to the treatment of goodwill, commitment to SB 1149, and, potentially, Sierra’s financial health.</w:t>
      </w:r>
    </w:p>
    <w:p>
      <w:pPr>
        <w:pStyle w:val="Normal"/>
        <w:rPr>
          <w:sz w:val="20"/>
        </w:rPr>
      </w:pPr>
      <w:r>
        <w:rPr>
          <w:sz w:val="20"/>
        </w:rPr>
      </w:r>
    </w:p>
    <w:p>
      <w:pPr>
        <w:pStyle w:val="Normal"/>
        <w:rPr>
          <w:sz w:val="20"/>
        </w:rPr>
      </w:pPr>
      <w:r>
        <w:rPr>
          <w:sz w:val="20"/>
        </w:rPr>
        <w:t xml:space="preserve">Concerns About SB 1149.  Sierra has met with ICNU and others in the DSB 1149 Coalition to explain the basis for their litigation in Federal Court.  Steve Oldham explained the purpose of the litigation and Sierra’s continuing commitment to restructuring—evidenced by Sierra’s continuing sale of the generation assets.  CUB and others also received phone calls from Oldham, Doug Ponn, or Bill Branch of Sierra.  We understand that Oldham will contact ICNU to request a formal meeting with ICNU’s membership. </w:t>
      </w:r>
    </w:p>
    <w:p>
      <w:pPr>
        <w:pStyle w:val="Normal"/>
        <w:rPr>
          <w:sz w:val="20"/>
        </w:rPr>
      </w:pPr>
      <w:r>
        <w:rPr>
          <w:sz w:val="20"/>
        </w:rPr>
      </w:r>
    </w:p>
    <w:p>
      <w:pPr>
        <w:pStyle w:val="Normal"/>
        <w:rPr>
          <w:sz w:val="20"/>
        </w:rPr>
      </w:pPr>
      <w:r>
        <w:rPr>
          <w:sz w:val="20"/>
        </w:rPr>
        <w:t xml:space="preserve">Concerns with Goodwill.  As you know, OPUC Staff has made clear that they do not support Sierra’s requested treatment of goodwill and that they will oppose the proposal in their testimony.  Staff’s concerns with Sierra’s proposal appear to be:  (1) Staff does not want to create a precedent for allowing Goodwill in rates; and (2) Sierra’s proposal is too much concept and too little detail.   Sierra has agreed to float an alternative to their goodwill proposal.  The alternative would continue to reflect the principle that costs should be recovered against savings.  However, the proposal will lock down a number of factors that could result in further dispute about how savings are generated and allocated.  </w:t>
      </w:r>
    </w:p>
    <w:p>
      <w:pPr>
        <w:pStyle w:val="Normal"/>
        <w:rPr>
          <w:sz w:val="20"/>
        </w:rPr>
      </w:pPr>
      <w:r>
        <w:rPr>
          <w:sz w:val="20"/>
        </w:rPr>
      </w:r>
    </w:p>
    <w:p>
      <w:pPr>
        <w:pStyle w:val="Normal"/>
        <w:rPr>
          <w:sz w:val="20"/>
        </w:rPr>
      </w:pPr>
      <w:r>
        <w:rPr>
          <w:sz w:val="20"/>
        </w:rPr>
        <w:t xml:space="preserve">Public Meetings.  Last night, the OPUC held the last of the two public meetings scheduled in this docket.  The meeting last night was a non-event as was the meeting held one week ago in Portland.  Regarding the Portland meeting, no members of the public appeared.  While OPUC senior staff was present at the meeting, no Commissioners made an attended.  Commissioner Hamilton and one member of the public appeared at last night’s meeting.  </w:t>
      </w:r>
    </w:p>
    <w:p>
      <w:pPr>
        <w:pStyle w:val="Normal"/>
        <w:rPr>
          <w:sz w:val="20"/>
        </w:rPr>
      </w:pPr>
      <w:r>
        <w:rPr>
          <w:sz w:val="20"/>
        </w:rPr>
      </w:r>
    </w:p>
    <w:p>
      <w:pPr>
        <w:pStyle w:val="Body"/>
        <w:rPr>
          <w:color w:val="auto"/>
        </w:rPr>
      </w:pPr>
      <w:r>
        <w:rPr>
          <w:color w:val="auto"/>
          <w:u w:val="single"/>
        </w:rPr>
        <w:t xml:space="preserve">Nevada </w:t>
      </w:r>
    </w:p>
    <w:p>
      <w:pPr>
        <w:pStyle w:val="Body"/>
        <w:rPr>
          <w:color w:val="auto"/>
        </w:rPr>
      </w:pPr>
      <w:r>
        <w:rPr>
          <w:color w:val="auto"/>
        </w:rPr>
      </w:r>
    </w:p>
    <w:p>
      <w:pPr>
        <w:pStyle w:val="Body"/>
        <w:rPr>
          <w:color w:val="auto"/>
        </w:rPr>
      </w:pPr>
      <w:r>
        <w:rPr>
          <w:color w:val="auto"/>
        </w:rPr>
        <w:t xml:space="preserve">Inquiries from OPUC Staff.  Neil Dimmick, the PUCN’s head of staff, informed me yesterday that they have received no further inquiries concerning a deposition by the OPUC staff.  We understand that the Chairman of the PUCN has informed Staff to limit the interactions with the OPUC.  </w:t>
      </w:r>
    </w:p>
    <w:p>
      <w:pPr>
        <w:pStyle w:val="Body"/>
        <w:rPr>
          <w:color w:val="auto"/>
        </w:rPr>
      </w:pPr>
      <w:r>
        <w:rPr>
          <w:color w:val="auto"/>
        </w:rPr>
      </w:r>
    </w:p>
    <w:p>
      <w:pPr>
        <w:pStyle w:val="Body"/>
        <w:rPr>
          <w:color w:val="auto"/>
        </w:rPr>
      </w:pPr>
      <w:r>
        <w:rPr>
          <w:color w:val="auto"/>
        </w:rPr>
        <w:t xml:space="preserve">However, Dimmick stated that the OPUC Staff will be attending a scheduled hearing on Sierra’s intercompany cost allocations.  Historically  PUCN staff has raised a number of issues with Sierra’s allocation and assignment of costs between its exempt holding company, the utility, and other affiliates.  This hearing is the result of a long-term investigation of these allocations and assignments.  Dimmick noted that  these concerns disappear with t he formation of the registered holding company and Services Company proposed by Sierra to the SEC as part of their acquisition of PGE.  </w:t>
      </w:r>
    </w:p>
    <w:p>
      <w:pPr>
        <w:pStyle w:val="Body"/>
        <w:rPr>
          <w:color w:val="auto"/>
        </w:rPr>
      </w:pPr>
      <w:r>
        <w:rPr>
          <w:color w:val="auto"/>
        </w:rPr>
      </w:r>
    </w:p>
    <w:p>
      <w:pPr>
        <w:pStyle w:val="Body"/>
        <w:rPr>
          <w:color w:val="auto"/>
        </w:rPr>
      </w:pPr>
      <w:r>
        <w:rPr>
          <w:color w:val="auto"/>
        </w:rPr>
        <w:t>Other Hearings in Nevada.  We understand that Sierra’s integrated resource plan will also be the subject of hearings before the PUCN.  These hearings will focus on:  (1) Sierra’s planning and construction of certain transmission lines; and (2) Sierra’s load/resource balance—i.e., their ability to meet their peak loads this summer.  Sierra’s ability to meet load has been the subject of recent news articles in Northern Nevada.   We can expect the PUCN and other parties to ask Sierra how they will meet load, given the sale of their plants and the lack of new construction.</w:t>
      </w:r>
    </w:p>
    <w:p>
      <w:pPr>
        <w:pStyle w:val="Body"/>
        <w:rPr>
          <w:color w:val="auto"/>
        </w:rPr>
      </w:pPr>
      <w:r>
        <w:rPr>
          <w:color w:val="auto"/>
        </w:rPr>
      </w:r>
    </w:p>
    <w:p>
      <w:pPr>
        <w:pStyle w:val="Body"/>
        <w:rPr>
          <w:color w:val="auto"/>
        </w:rPr>
      </w:pPr>
      <w:r>
        <w:rPr>
          <w:color w:val="auto"/>
        </w:rPr>
        <w:t>Stranded Cost Rule.  As you know, an interim committee of the Nevada legislature met last Monday to consider whether the stranded cost regulation issued by the PUCN was consistent with Nevada’s restructuring legislation.  The legislative committee ruled at the meeting that the rule was not consistent with law.   The committee sent the rule back to the PUCN with instructions and a demand that the PUCN complete a cost-benefit analysis of the regulation before re-issuing the rule.   During the legislative debate at least one legislator demanded that stakeholders discontinue the “secret” settlement meetings that were being held by the Governor to resolve restructuring issues in Nevada.</w:t>
      </w:r>
    </w:p>
    <w:p>
      <w:pPr>
        <w:pStyle w:val="Body"/>
        <w:rPr>
          <w:color w:val="auto"/>
        </w:rPr>
      </w:pPr>
      <w:r>
        <w:rPr>
          <w:color w:val="auto"/>
        </w:rPr>
      </w:r>
    </w:p>
    <w:p>
      <w:pPr>
        <w:pStyle w:val="Body"/>
        <w:rPr>
          <w:color w:val="auto"/>
        </w:rPr>
      </w:pPr>
      <w:r>
        <w:rPr>
          <w:color w:val="auto"/>
        </w:rPr>
        <w:t xml:space="preserve">The legislative committee’s finding that the stranded cost rule did not comport with Nevada law was a victory for Sierra.  However, Sierra’s success did not come without a cost.  We understand that the meeting further alienated the resorts, the consumer advocate, and Commissioner Sheldrew.  </w:t>
      </w:r>
    </w:p>
    <w:p>
      <w:pPr>
        <w:pStyle w:val="Body"/>
        <w:rPr>
          <w:color w:val="auto"/>
        </w:rPr>
      </w:pPr>
      <w:r>
        <w:rPr>
          <w:color w:val="auto"/>
        </w:rPr>
      </w:r>
    </w:p>
    <w:p>
      <w:pPr>
        <w:pStyle w:val="Body"/>
        <w:rPr>
          <w:color w:val="auto"/>
        </w:rPr>
      </w:pPr>
      <w:r>
        <w:rPr>
          <w:color w:val="auto"/>
        </w:rPr>
        <w:t xml:space="preserve">New Litigation.  As reported in prior updates, Sierra filed its appeal of the two decisions rejecting Nevada Power’s request for recovery of certain deferred power purchase and fuel expenses.  </w:t>
      </w:r>
    </w:p>
    <w:p>
      <w:pPr>
        <w:pStyle w:val="Body"/>
        <w:rPr>
          <w:color w:val="auto"/>
        </w:rPr>
      </w:pPr>
      <w:r>
        <w:rPr>
          <w:color w:val="auto"/>
        </w:rPr>
      </w:r>
    </w:p>
    <w:p>
      <w:pPr>
        <w:pStyle w:val="Body"/>
        <w:jc w:val="center"/>
        <w:rPr>
          <w:color w:val="auto"/>
        </w:rPr>
      </w:pPr>
      <w:r>
        <w:rPr>
          <w:color w:val="auto"/>
        </w:rPr>
        <w:t>^^^</w:t>
      </w:r>
    </w:p>
    <w:p>
      <w:pPr>
        <w:pStyle w:val="Body"/>
        <w:jc w:val="center"/>
        <w:rPr>
          <w:color w:val="auto"/>
        </w:rPr>
      </w:pPr>
      <w:r>
        <w:rPr>
          <w:color w:val="auto"/>
        </w:rPr>
      </w:r>
    </w:p>
    <w:p>
      <w:pPr>
        <w:pStyle w:val="Body"/>
        <w:rPr>
          <w:color w:val="auto"/>
        </w:rPr>
      </w:pPr>
      <w:r>
        <w:rPr>
          <w:color w:val="auto"/>
        </w:rPr>
        <w:t xml:space="preserve">Please contact me if you have any questions concerning this memorandum.  I’ll be out of the office Thursday but will return Friday afternoon.  </w:t>
      </w:r>
    </w:p>
    <w:p>
      <w:pPr>
        <w:pStyle w:val="Body"/>
        <w:rPr>
          <w:color w:val="auto"/>
        </w:rPr>
      </w:pPr>
      <w:r>
        <w:rPr>
          <w:color w:val="auto"/>
        </w:rPr>
      </w:r>
    </w:p>
    <w:p>
      <w:pPr>
        <w:pStyle w:val="Body"/>
        <w:rPr>
          <w:color w:val="auto"/>
        </w:rPr>
      </w:pPr>
      <w:r>
        <w:rPr>
          <w:color w:val="auto"/>
        </w:rPr>
      </w:r>
    </w:p>
    <w:p>
      <w:pPr>
        <w:pStyle w:val="Body"/>
        <w:rPr>
          <w:color w:val="auto"/>
        </w:rPr>
      </w:pPr>
      <w:r>
        <w:rPr>
          <w:color w:val="auto"/>
        </w:rPr>
      </w:r>
    </w:p>
    <w:p>
      <w:pPr>
        <w:pStyle w:val="Body"/>
        <w:jc w:val="center"/>
        <w:rPr>
          <w:color w:val="auto"/>
        </w:rPr>
      </w:pPr>
      <w:r>
        <w:rPr>
          <w:color w:val="auto"/>
        </w:rPr>
      </w:r>
    </w:p>
    <w:sectPr>
      <w:headerReference w:type="default" r:id="rId4"/>
      <w:headerReference w:type="first" r:id="rId5"/>
      <w:footerReference w:type="default" r:id="rId6"/>
      <w:footerReference w:type="first" r:id="rId7"/>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4/12/00</w:t>
      <w:tab/>
      <w:t xml:space="preserve">Page </w:t>
    </w:r>
    <w:r>
      <w:rPr/>
      <w:fldChar w:fldCharType="begin"/>
    </w:r>
    <w:r>
      <w:rPr/>
      <w:instrText xml:space="preserve"> PAGE </w:instrText>
    </w:r>
    <w:r>
      <w:rPr/>
      <w:fldChar w:fldCharType="separate"/>
    </w:r>
    <w:r>
      <w:rPr/>
      <w:t>2</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635</wp:posOffset>
              </wp:positionV>
              <wp:extent cx="3877310" cy="100203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1002030"/>
                      </a:xfrm>
                      <a:prstGeom prst="rect"/>
                      <a:solidFill>
                        <a:srgbClr val="FFFFFF">
                          <a:alpha val="0"/>
                        </a:srgbClr>
                      </a:solidFill>
                    </wps:spPr>
                    <wps:txbx>
                      <w:txbxContent>
                        <w:p>
                          <w:pPr>
                            <w:pStyle w:val="Normal"/>
                            <w:ind w:start="3600" w:end="0"/>
                            <w:rPr>
                              <w:b/>
                              <w:sz w:val="32"/>
                            </w:rPr>
                          </w:pPr>
                          <w:r>
                            <w:rPr>
                              <w:b/>
                              <w:sz w:val="32"/>
                            </w:rPr>
                            <w:t>ConfidentialMemorandum</w:t>
                          </w:r>
                        </w:p>
                      </w:txbxContent>
                    </wps:txbx>
                    <wps:bodyPr anchor="t" lIns="0" tIns="0" rIns="0" bIns="0">
                      <a:noAutofit/>
                    </wps:bodyPr>
                  </wps:wsp>
                </a:graphicData>
              </a:graphic>
            </wp:anchor>
          </w:drawing>
        </mc:Choice>
        <mc:Fallback>
          <w:pict>
            <v:rect fillcolor="#FFFFFF" style="position:absolute;rotation:-0;width:305.3pt;height:78.9pt;mso-wrap-distance-left:9.35pt;mso-wrap-distance-right:9.35pt;mso-wrap-distance-top:0pt;mso-wrap-distance-bottom:0pt;margin-top:0.05pt;mso-position-vertical-relative:text;margin-left:201.3pt;mso-position-horizontal-relative:page">
              <v:fill opacity="0f"/>
              <v:textbox inset="0in,0in,0in,0in">
                <w:txbxContent>
                  <w:p>
                    <w:pPr>
                      <w:pStyle w:val="Normal"/>
                      <w:ind w:start="3600" w:end="0"/>
                      <w:rPr>
                        <w:b/>
                        <w:sz w:val="32"/>
                      </w:rPr>
                    </w:pPr>
                    <w:r>
                      <w:rPr>
                        <w:b/>
                        <w:sz w:val="32"/>
                      </w:rPr>
                      <w:t>ConfidentialMemorandum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2000-04-12T11:27:00Z</dcterms:created>
  <dc:creator>Jeff Ford</dc:creator>
  <dc:description/>
  <dc:language>en-CA</dc:language>
  <cp:lastModifiedBy>Paul Kaufman</cp:lastModifiedBy>
  <cp:lastPrinted>2000-04-12T06:57:00Z</cp:lastPrinted>
  <dcterms:modified xsi:type="dcterms:W3CDTF">2000-04-12T11:30:00Z</dcterms:modified>
  <cp:revision>3</cp:revision>
  <dc:subject>Comments on Load Forecasting/Data Requirements Proposed Regulations</dc:subject>
  <dc:title>Eron Capital &amp; Trade Resources Memo</dc:title>
</cp:coreProperties>
</file>