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color w:val="000080"/>
          <w:sz w:val="40"/>
        </w:rPr>
      </w:pPr>
      <w:r>
        <w:object w:dxaOrig="1456" w:dyaOrig="148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5pt;margin-top:-2.8pt;width:86.1pt;height:90pt;mso-wrap-distance-left:9.05pt;mso-wrap-distance-right:9.05pt;mso-position-horizontal-relative:text;mso-position-vertical-relative:text" filled="f" o:ole="">
            <v:imagedata r:id="rId3" o:title=""/>
          </v:shape>
          <o:OLEObject Type="Embed" ProgID="" ShapeID="ole_rId2" DrawAspect="Content" ObjectID="_1894308366" r:id="rId2"/>
        </w:object>
      </w:r>
      <w:r>
        <w:rPr/>
        <w:t xml:space="preserve">   </w:t>
      </w:r>
      <w:r>
        <w:rPr/>
        <w:tab/>
        <w:tab/>
      </w:r>
      <w:r>
        <w:rPr>
          <w:sz w:val="40"/>
        </w:rPr>
        <w:t xml:space="preserve">                      </w:t>
      </w:r>
    </w:p>
    <w:p>
      <w:pPr>
        <w:pStyle w:val="Heading1"/>
        <w:tabs>
          <w:tab w:val="clear" w:pos="720"/>
          <w:tab w:val="left" w:pos="4950" w:leader="none"/>
        </w:tabs>
        <w:ind w:firstLine="720" w:start="1440" w:end="0"/>
        <w:rPr>
          <w:sz w:val="40"/>
        </w:rPr>
      </w:pPr>
      <w:r>
        <w:rPr>
          <w:color w:val="000080"/>
          <w:sz w:val="40"/>
        </w:rPr>
        <w:t xml:space="preserve"> </w:t>
      </w:r>
      <w:r>
        <w:rPr>
          <w:color w:val="000080"/>
          <w:sz w:val="40"/>
        </w:rPr>
        <w:t>Enron Americas    Competitive Analysis</w:t>
      </w:r>
    </w:p>
    <w:p>
      <w:pPr>
        <w:pStyle w:val="Heading1"/>
        <w:ind w:hanging="0" w:start="0"/>
        <w:jc w:val="center"/>
        <w:rPr>
          <w:sz w:val="36"/>
        </w:rPr>
      </w:pPr>
      <w:r>
        <w:rPr>
          <w:color w:val="000080"/>
          <w:sz w:val="40"/>
        </w:rPr>
        <w:t xml:space="preserve">                    </w:t>
      </w:r>
      <w:r>
        <w:rPr>
          <w:color w:val="000080"/>
          <w:sz w:val="40"/>
        </w:rPr>
        <w:tab/>
        <w:tab/>
        <w:tab/>
        <w:tab/>
      </w:r>
    </w:p>
    <w:p>
      <w:pPr>
        <w:sectPr>
          <w:headerReference w:type="default" r:id="rId4"/>
          <w:footerReference w:type="default" r:id="rId5"/>
          <w:type w:val="continuous"/>
          <w:pgSz w:w="12240" w:h="15840"/>
          <w:pgMar w:left="288" w:right="288" w:gutter="0" w:header="144" w:top="317" w:footer="576" w:bottom="632"/>
          <w:cols w:num="2" w:space="720" w:equalWidth="true" w:sep="false"/>
          <w:formProt w:val="false"/>
          <w:textDirection w:val="lrTb"/>
          <w:docGrid w:type="default" w:linePitch="360" w:charSpace="0"/>
        </w:sectPr>
      </w:pPr>
    </w:p>
    <w:p>
      <w:pPr>
        <w:pStyle w:val="BodyText2"/>
        <w:numPr>
          <w:ilvl w:val="0"/>
          <w:numId w:val="0"/>
        </w:numPr>
        <w:pBdr>
          <w:bottom w:val="single" w:sz="12" w:space="1" w:color="000000"/>
        </w:pBdr>
        <w:tabs>
          <w:tab w:val="clear" w:pos="720"/>
          <w:tab w:val="left" w:pos="0" w:leader="none"/>
        </w:tabs>
        <w:jc w:val="center"/>
        <w:outlineLvl w:val="0"/>
        <w:rPr>
          <w:sz w:val="36"/>
        </w:rPr>
      </w:pPr>
      <w:r>
        <w:rPr>
          <w:sz w:val="36"/>
        </w:rPr>
      </w:r>
    </w:p>
    <w:p>
      <w:pPr>
        <w:pStyle w:val="BodyText2"/>
        <w:numPr>
          <w:ilvl w:val="0"/>
          <w:numId w:val="0"/>
        </w:numPr>
        <w:pBdr>
          <w:bottom w:val="single" w:sz="12" w:space="1" w:color="000000"/>
        </w:pBdr>
        <w:tabs>
          <w:tab w:val="clear" w:pos="720"/>
          <w:tab w:val="left" w:pos="0" w:leader="none"/>
        </w:tabs>
        <w:jc w:val="center"/>
        <w:outlineLvl w:val="0"/>
        <w:rPr>
          <w:sz w:val="36"/>
        </w:rPr>
      </w:pPr>
      <w:r>
        <w:rPr>
          <w:sz w:val="36"/>
        </w:rPr>
        <w:t>Energy Regulatory-Political Highlights</w:t>
      </w:r>
    </w:p>
    <w:p>
      <w:pPr>
        <w:pStyle w:val="BodyText2"/>
        <w:numPr>
          <w:ilvl w:val="0"/>
          <w:numId w:val="0"/>
        </w:numPr>
        <w:pBdr>
          <w:bottom w:val="single" w:sz="12" w:space="1" w:color="000000"/>
        </w:pBdr>
        <w:tabs>
          <w:tab w:val="clear" w:pos="720"/>
          <w:tab w:val="left" w:pos="0" w:leader="none"/>
        </w:tabs>
        <w:jc w:val="center"/>
        <w:outlineLvl w:val="0"/>
        <w:rPr/>
      </w:pPr>
      <w:r>
        <w:rPr/>
        <w:t>April 11th, 2001</w:t>
      </w:r>
    </w:p>
    <w:tbl>
      <w:tblPr>
        <w:tblW w:w="11250" w:type="dxa"/>
        <w:jc w:val="start"/>
        <w:tblInd w:w="108" w:type="dxa"/>
        <w:tblLayout w:type="fixed"/>
        <w:tblCellMar>
          <w:top w:w="0" w:type="dxa"/>
          <w:start w:w="108" w:type="dxa"/>
          <w:bottom w:w="0" w:type="dxa"/>
          <w:end w:w="108" w:type="dxa"/>
        </w:tblCellMar>
      </w:tblPr>
      <w:tblGrid>
        <w:gridCol w:w="11250"/>
      </w:tblGrid>
      <w:tr>
        <w:trPr>
          <w:trHeight w:val="387" w:hRule="atLeast"/>
        </w:trPr>
        <w:tc>
          <w:tcPr>
            <w:tcW w:w="11250" w:type="dxa"/>
            <w:tcBorders/>
          </w:tcPr>
          <w:p>
            <w:pPr>
              <w:pStyle w:val="BodyText2"/>
              <w:tabs>
                <w:tab w:val="left" w:pos="720" w:leader="none"/>
              </w:tabs>
              <w:spacing w:before="120" w:after="60"/>
              <w:jc w:val="both"/>
              <w:rPr>
                <w:b/>
                <w:color w:val="000080"/>
                <w:sz w:val="32"/>
              </w:rPr>
            </w:pPr>
            <w:r>
              <w:rPr>
                <w:b/>
                <w:color w:val="000080"/>
                <w:sz w:val="32"/>
              </w:rPr>
              <w:t>Cheney’s Energy Task Force Eyes Rocky Mountain Gas Reserves</w:t>
            </w:r>
          </w:p>
        </w:tc>
      </w:tr>
      <w:tr>
        <w:trPr>
          <w:trHeight w:val="2025" w:hRule="atLeast"/>
        </w:trPr>
        <w:tc>
          <w:tcPr>
            <w:tcW w:w="11250" w:type="dxa"/>
            <w:tcBorders/>
          </w:tcPr>
          <w:p>
            <w:pPr>
              <w:pStyle w:val="Normal"/>
              <w:spacing w:lineRule="atLeast" w:line="240" w:before="60" w:after="120"/>
              <w:jc w:val="both"/>
              <w:rPr>
                <w:sz w:val="24"/>
              </w:rPr>
            </w:pPr>
            <w:r>
              <w:rPr>
                <w:sz w:val="24"/>
              </w:rPr>
              <w:t>The energy task force led by Vice President Cheney is reviewing a draft plan that would open millions of acres of public land to new oil and gas development in parts of the Rocky Mountain’s federally protected land.  The areas considered for exploration include 17 million acres of federal land in eleven Western states under temporary protection from energy development.  The announcement comes just one week after President Bush conceded that the Senate’s approval of artic ANWR drilling could pose an obstacle; however, some of the actions described in Cheney’s report could be carried out by the administration without Congressional approval.  Of the 137 trillion cubic feet of gas beneath public lands in the Rockies, land containing 29 Tcf is currently off limits for drilling.</w:t>
            </w:r>
          </w:p>
        </w:tc>
      </w:tr>
      <w:tr>
        <w:trPr>
          <w:trHeight w:val="423" w:hRule="atLeast"/>
        </w:trPr>
        <w:tc>
          <w:tcPr>
            <w:tcW w:w="11250" w:type="dxa"/>
            <w:tcBorders/>
          </w:tcPr>
          <w:p>
            <w:pPr>
              <w:pStyle w:val="BodyText2"/>
              <w:tabs>
                <w:tab w:val="left" w:pos="720" w:leader="none"/>
              </w:tabs>
              <w:spacing w:before="60" w:after="60"/>
              <w:jc w:val="both"/>
              <w:rPr>
                <w:b/>
                <w:color w:val="000080"/>
                <w:sz w:val="32"/>
              </w:rPr>
            </w:pPr>
            <w:r>
              <w:rPr>
                <w:b/>
                <w:color w:val="000080"/>
                <w:sz w:val="32"/>
              </w:rPr>
              <w:t>Congressional Republicans Draft Energy Bill to Aid the West</w:t>
            </w:r>
          </w:p>
        </w:tc>
      </w:tr>
      <w:tr>
        <w:trPr>
          <w:trHeight w:val="2718" w:hRule="atLeast"/>
        </w:trPr>
        <w:tc>
          <w:tcPr>
            <w:tcW w:w="11250" w:type="dxa"/>
            <w:tcBorders/>
          </w:tcPr>
          <w:p>
            <w:pPr>
              <w:pStyle w:val="Normal"/>
              <w:spacing w:lineRule="atLeast" w:line="240" w:before="60" w:after="120"/>
              <w:jc w:val="both"/>
              <w:rPr>
                <w:sz w:val="24"/>
              </w:rPr>
            </w:pPr>
            <w:r>
              <w:rPr>
                <w:sz w:val="24"/>
              </w:rPr>
              <w:t>Rep. Joe Barton has spliced together emergency legislation aimed at aiding energy markets in the Western United States via funding for improvements in California’s constrained transmission line SP-15 and directing federal disaster officials to prepare for power outages.  The move by Republicans came as Democratic criticism of the Bush administration’s response to the California power crisis intensified Wednesday.  Although the bill will not contain the price caps sought by Democrats and a handful of Republicans, Barton said he would allow amendments in support of price controls during committee deliberations.  A list circulated by GOP staff in recent weeks includes a range of ideas such as relaxing environmental rules, subject to a governor’s request; increasing federal energy assistance to low-income consumers; firing up mothballed power plants; and directing federal facilities to reduce energy use by 10%.  Additionally, the bill would grant governors the flexibility to allow power plants that have exceeded emissions limits to temporarily keep operating during emergencies.</w:t>
            </w:r>
          </w:p>
        </w:tc>
      </w:tr>
      <w:tr>
        <w:trPr>
          <w:trHeight w:val="468" w:hRule="atLeast"/>
        </w:trPr>
        <w:tc>
          <w:tcPr>
            <w:tcW w:w="11250" w:type="dxa"/>
            <w:tcBorders/>
          </w:tcPr>
          <w:p>
            <w:pPr>
              <w:pStyle w:val="BodyText2"/>
              <w:tabs>
                <w:tab w:val="left" w:pos="720" w:leader="none"/>
              </w:tabs>
              <w:spacing w:before="60" w:after="60"/>
              <w:jc w:val="both"/>
              <w:rPr>
                <w:b/>
                <w:color w:val="000080"/>
                <w:sz w:val="32"/>
              </w:rPr>
            </w:pPr>
            <w:r>
              <w:rPr>
                <w:b/>
                <w:color w:val="000080"/>
                <w:sz w:val="32"/>
              </w:rPr>
              <w:t xml:space="preserve">FERC Expedites Developments of Western Gas Transmission </w:t>
            </w:r>
          </w:p>
        </w:tc>
      </w:tr>
      <w:tr>
        <w:trPr>
          <w:trHeight w:val="1744" w:hRule="atLeast"/>
        </w:trPr>
        <w:tc>
          <w:tcPr>
            <w:tcW w:w="11250" w:type="dxa"/>
            <w:tcBorders/>
          </w:tcPr>
          <w:p>
            <w:pPr>
              <w:pStyle w:val="Normal"/>
              <w:spacing w:lineRule="atLeast" w:line="240" w:before="60" w:after="120"/>
              <w:jc w:val="both"/>
              <w:rPr>
                <w:sz w:val="24"/>
              </w:rPr>
            </w:pPr>
            <w:r>
              <w:rPr>
                <w:sz w:val="24"/>
              </w:rPr>
              <w:t xml:space="preserve">Late last week FERC issued a certificate to Kern River Transmission Company authorizing the construction of facilities needed to deliver 135,000 Mcf per day of natural gas to California this summer.  The certificate comes only three weeks after Kern River filed its application and demonstrates the coordinated efforts of various federal and state agencies to comply with the Bush administration’s desire to aid western states.  Kern River Transmission Co.’s proposal includes three new compressor stations and upgraded facilities at three existing compressor stations and an existing meter station.  These facilities will bring gas from Wyoming to California. </w:t>
            </w:r>
          </w:p>
        </w:tc>
      </w:tr>
      <w:tr>
        <w:trPr>
          <w:trHeight w:val="342" w:hRule="atLeast"/>
        </w:trPr>
        <w:tc>
          <w:tcPr>
            <w:tcW w:w="11250" w:type="dxa"/>
            <w:tcBorders/>
          </w:tcPr>
          <w:p>
            <w:pPr>
              <w:pStyle w:val="BodyText2"/>
              <w:tabs>
                <w:tab w:val="left" w:pos="720" w:leader="none"/>
              </w:tabs>
              <w:spacing w:before="60" w:after="60"/>
              <w:jc w:val="both"/>
              <w:rPr>
                <w:b/>
                <w:color w:val="000080"/>
                <w:sz w:val="32"/>
              </w:rPr>
            </w:pPr>
            <w:r>
              <w:rPr>
                <w:b/>
                <w:color w:val="000080"/>
                <w:sz w:val="32"/>
              </w:rPr>
              <w:t xml:space="preserve">DOE &amp; EPA Promote Clean Coal Initiatives </w:t>
            </w:r>
          </w:p>
        </w:tc>
      </w:tr>
      <w:tr>
        <w:trPr>
          <w:trHeight w:val="144" w:hRule="atLeast"/>
        </w:trPr>
        <w:tc>
          <w:tcPr>
            <w:tcW w:w="11250" w:type="dxa"/>
            <w:tcBorders/>
          </w:tcPr>
          <w:p>
            <w:pPr>
              <w:pStyle w:val="Normal"/>
              <w:spacing w:lineRule="atLeast" w:line="240" w:before="60" w:after="120"/>
              <w:jc w:val="both"/>
              <w:rPr>
                <w:sz w:val="24"/>
              </w:rPr>
            </w:pPr>
            <w:r>
              <w:rPr>
                <w:sz w:val="24"/>
              </w:rPr>
              <w:t>The US Department of Energy's latest budget fiscal 2002 proposal would dramatically reduce research on oil, gas, and renewable fuels in favor of clean coal technologies. Budget authority for fossil energy research and development is $449 million, up $2 million from last year; however, the majority of that money is earmarked for clean coal initiatives, agency officials said. The proposal allows funding for oil and gas research to fall by nearly 50% and only reiterates the underlying support Bush offered coal-fried generators when he reversed his stance on stricter CO2 emission (as well as Kyoto participation) that would have otherwise limited power production.  Surprisingly, the Bush administration has yet to signal any concerns over the EPA’s defense of its authority to regulate mercury emissions under the Clean Air Act (coal-fired plants produce the most mercury pollution).  The EPA recently filed a motion to dismiss a power industry suit that challenged its authority on the matter.</w:t>
            </w:r>
          </w:p>
        </w:tc>
      </w:tr>
    </w:tbl>
    <w:p>
      <w:pPr>
        <w:pStyle w:val="Normal"/>
        <w:autoSpaceDE w:val="false"/>
        <w:jc w:val="both"/>
        <w:rPr>
          <w:sz w:val="24"/>
        </w:rPr>
      </w:pPr>
      <w:r>
        <w:rPr>
          <w:sz w:val="24"/>
        </w:rPr>
      </w:r>
    </w:p>
    <w:sectPr>
      <w:type w:val="continuous"/>
      <w:pgSz w:w="12240" w:h="15840"/>
      <w:pgMar w:left="360" w:right="360" w:gutter="0" w:header="144" w:top="317"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For additional information or further tasking, please contact Kristin Walsh (713) 853-9510.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4"/>
      </w:rPr>
    </w:pPr>
    <w:r>
      <w:rPr>
        <w:b/>
        <w:color w:val="FF0000"/>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jc w:val="center"/>
      <w:outlineLvl w:val="2"/>
    </w:pPr>
    <w:rPr>
      <w:rFonts w:ascii="Garamond" w:hAnsi="Garamond" w:cs="Garamond"/>
      <w:b/>
      <w:sz w:val="28"/>
    </w:rPr>
  </w:style>
  <w:style w:type="paragraph" w:styleId="Heading4">
    <w:name w:val="heading 4"/>
    <w:basedOn w:val="Normal"/>
    <w:next w:val="Normal"/>
    <w:qFormat/>
    <w:pPr>
      <w:keepNext w:val="true"/>
      <w:numPr>
        <w:ilvl w:val="0"/>
        <w:numId w:val="2"/>
      </w:numPr>
      <w:outlineLvl w:val="3"/>
    </w:pPr>
    <w:rPr>
      <w:rFonts w:ascii="Garamond" w:hAnsi="Garamond" w:cs="Garamond"/>
      <w:b/>
      <w:sz w:val="32"/>
    </w:rPr>
  </w:style>
  <w:style w:type="paragraph" w:styleId="Heading5">
    <w:name w:val="heading 5"/>
    <w:basedOn w:val="Normal"/>
    <w:next w:val="Normal"/>
    <w:qFormat/>
    <w:pPr>
      <w:keepNext w:val="true"/>
      <w:numPr>
        <w:ilvl w:val="4"/>
        <w:numId w:val="1"/>
      </w:numPr>
      <w:pBdr>
        <w:top w:val="single" w:sz="18" w:space="1" w:color="000000"/>
      </w:pBdr>
      <w:outlineLvl w:val="4"/>
    </w:pPr>
    <w:rPr>
      <w:b/>
      <w:sz w:val="24"/>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tabs>
        <w:tab w:val="left" w:pos="-162" w:leader="none"/>
        <w:tab w:val="left" w:pos="720" w:leader="none"/>
      </w:tabs>
      <w:autoSpaceDE w:val="false"/>
      <w:spacing w:before="40" w:after="40"/>
      <w:jc w:val="both"/>
      <w:outlineLvl w:val="6"/>
    </w:pPr>
    <w:rPr>
      <w:b/>
      <w:bCs/>
      <w:color w:val="000080"/>
      <w:sz w:val="32"/>
      <w:szCs w:val="32"/>
    </w:rPr>
  </w:style>
  <w:style w:type="character" w:styleId="WW8Num2z0">
    <w:name w:val="WW8Num2z0"/>
    <w:qFormat/>
    <w:rPr>
      <w:rFonts w:ascii="Symbol" w:hAnsi="Symbol" w:cs="Symbol"/>
    </w:rPr>
  </w:style>
  <w:style w:type="character" w:styleId="WW8Num3z0">
    <w:name w:val="WW8Num3z0"/>
    <w:qFormat/>
    <w:rPr>
      <w:rFonts w:ascii="Wingdings" w:hAnsi="Wingdings" w:cs="Wingdings"/>
      <w:color w:val="000000"/>
      <w:sz w:val="16"/>
    </w:rPr>
  </w:style>
  <w:style w:type="character" w:styleId="WW8Num4z0">
    <w:name w:val="WW8Num4z0"/>
    <w:qFormat/>
    <w:rPr>
      <w:rFonts w:ascii="Wingdings" w:hAnsi="Wingdings" w:cs="Wingdings"/>
      <w:color w:val="000000"/>
      <w:sz w:val="16"/>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color w:val="000000"/>
      <w:sz w:val="16"/>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color w:val="000000"/>
      <w:sz w:val="16"/>
    </w:rPr>
  </w:style>
  <w:style w:type="character" w:styleId="WW8Num11z0">
    <w:name w:val="WW8Num11z0"/>
    <w:qFormat/>
    <w:rPr>
      <w:rFonts w:ascii="Wingdings" w:hAnsi="Wingdings" w:cs="Wingdings"/>
      <w:color w:val="000000"/>
      <w:sz w:val="16"/>
    </w:rPr>
  </w:style>
  <w:style w:type="character" w:styleId="WW8Num12z0">
    <w:name w:val="WW8Num12z0"/>
    <w:qFormat/>
    <w:rPr>
      <w:rFonts w:ascii="Wingdings" w:hAnsi="Wingdings" w:cs="Wingdings"/>
      <w:color w:val="000080"/>
      <w:sz w:val="16"/>
    </w:rPr>
  </w:style>
  <w:style w:type="character" w:styleId="WW8Num13z0">
    <w:name w:val="WW8Num13z0"/>
    <w:qFormat/>
    <w:rPr>
      <w:rFonts w:ascii="Wingdings" w:hAnsi="Wingdings" w:cs="Wingdings"/>
      <w:color w:val="000000"/>
      <w:sz w:val="16"/>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color w:val="000080"/>
      <w:sz w:val="16"/>
    </w:rPr>
  </w:style>
  <w:style w:type="character" w:styleId="WW8Num16z0">
    <w:name w:val="WW8Num16z0"/>
    <w:qFormat/>
    <w:rPr>
      <w:rFonts w:ascii="Wingdings" w:hAnsi="Wingdings" w:cs="Wingdings"/>
      <w:color w:val="000080"/>
      <w:sz w:val="16"/>
    </w:rPr>
  </w:style>
  <w:style w:type="character" w:styleId="WW8Num17z0">
    <w:name w:val="WW8Num17z0"/>
    <w:qFormat/>
    <w:rPr>
      <w:rFonts w:ascii="Symbol" w:hAnsi="Symbol" w:cs="Symbol"/>
      <w:color w:val="000000"/>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color w:val="FF0000"/>
      <w:sz w:val="24"/>
    </w:rPr>
  </w:style>
  <w:style w:type="character" w:styleId="WW8Num20z0">
    <w:name w:val="WW8Num20z0"/>
    <w:qFormat/>
    <w:rPr>
      <w:rFonts w:ascii="Wingdings" w:hAnsi="Wingdings" w:cs="Wingdings"/>
      <w:color w:val="000000"/>
      <w:sz w:val="16"/>
    </w:rPr>
  </w:style>
  <w:style w:type="character" w:styleId="WW8Num21z0">
    <w:name w:val="WW8Num21z0"/>
    <w:qFormat/>
    <w:rPr>
      <w:rFonts w:ascii="Symbol" w:hAnsi="Symbol" w:cs="Symbol"/>
    </w:rPr>
  </w:style>
  <w:style w:type="character" w:styleId="WW8Num22z0">
    <w:name w:val="WW8Num22z0"/>
    <w:qFormat/>
    <w:rPr>
      <w:rFonts w:ascii="Wingdings" w:hAnsi="Wingdings" w:cs="Wingdings"/>
      <w:color w:val="000080"/>
      <w:sz w:val="16"/>
    </w:rPr>
  </w:style>
  <w:style w:type="character" w:styleId="WW8Num23z0">
    <w:name w:val="WW8Num23z0"/>
    <w:qFormat/>
    <w:rPr>
      <w:rFonts w:ascii="Wingdings" w:hAnsi="Wingdings" w:cs="Wingdings"/>
      <w:color w:val="000000"/>
      <w:sz w:val="16"/>
    </w:rPr>
  </w:style>
  <w:style w:type="character" w:styleId="WW8Num24z0">
    <w:name w:val="WW8Num24z0"/>
    <w:qFormat/>
    <w:rPr>
      <w:rFonts w:ascii="Symbol" w:hAnsi="Symbol" w:cs="Symbol"/>
    </w:rPr>
  </w:style>
  <w:style w:type="character" w:styleId="WW8Num25z0">
    <w:name w:val="WW8Num25z0"/>
    <w:qFormat/>
    <w:rPr>
      <w:rFonts w:ascii="Wingdings" w:hAnsi="Wingdings" w:cs="Wingdings"/>
      <w:color w:val="000000"/>
      <w:sz w:val="16"/>
    </w:rPr>
  </w:style>
  <w:style w:type="character" w:styleId="WW8Num26z0">
    <w:name w:val="WW8Num26z0"/>
    <w:qFormat/>
    <w:rPr>
      <w:rFonts w:ascii="Wingdings" w:hAnsi="Wingdings" w:cs="Wingdings"/>
      <w:color w:val="000000"/>
      <w:sz w:val="16"/>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auto"/>
      <w:sz w:val="2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color w:val="000000"/>
      <w:sz w:val="16"/>
    </w:rPr>
  </w:style>
  <w:style w:type="character" w:styleId="WW8Num32z0">
    <w:name w:val="WW8Num32z0"/>
    <w:qFormat/>
    <w:rPr>
      <w:rFonts w:ascii="Symbol" w:hAnsi="Symbol" w:cs="Symbol"/>
    </w:rPr>
  </w:style>
  <w:style w:type="character" w:styleId="WW8Num33z0">
    <w:name w:val="WW8Num33z0"/>
    <w:qFormat/>
    <w:rPr>
      <w:rFonts w:ascii="Wingdings" w:hAnsi="Wingdings" w:cs="Wingdings"/>
      <w:color w:val="000000"/>
      <w:sz w:val="16"/>
    </w:rPr>
  </w:style>
  <w:style w:type="character" w:styleId="WW8Num34z0">
    <w:name w:val="WW8Num34z0"/>
    <w:qFormat/>
    <w:rPr>
      <w:rFonts w:ascii="Wingdings" w:hAnsi="Wingdings" w:cs="Wingdings"/>
      <w:color w:val="000000"/>
      <w:sz w:val="16"/>
    </w:rPr>
  </w:style>
  <w:style w:type="character" w:styleId="WW8Num35z0">
    <w:name w:val="WW8Num35z0"/>
    <w:qFormat/>
    <w:rPr>
      <w:rFonts w:ascii="Symbol" w:hAnsi="Symbol" w:cs="Symbol"/>
    </w:rPr>
  </w:style>
  <w:style w:type="character" w:styleId="WW8Num36z0">
    <w:name w:val="WW8Num36z0"/>
    <w:qFormat/>
    <w:rPr>
      <w:rFonts w:ascii="Wingdings" w:hAnsi="Wingdings" w:cs="Wingdings"/>
      <w:color w:val="000000"/>
      <w:sz w:val="16"/>
    </w:rPr>
  </w:style>
  <w:style w:type="character" w:styleId="WW8Num37z0">
    <w:name w:val="WW8Num37z0"/>
    <w:qFormat/>
    <w:rPr>
      <w:rFonts w:ascii="Wingdings" w:hAnsi="Wingdings" w:cs="Wingdings"/>
      <w:color w:val="000000"/>
      <w:sz w:val="16"/>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color w:val="000000"/>
      <w:sz w:val="16"/>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rPr>
  </w:style>
  <w:style w:type="character" w:styleId="WW8Num47z0">
    <w:name w:val="WW8Num47z0"/>
    <w:qFormat/>
    <w:rPr>
      <w:rFonts w:ascii="Wingdings" w:hAnsi="Wingdings" w:cs="Wingdings"/>
      <w:color w:val="000000"/>
      <w:sz w:val="16"/>
    </w:rPr>
  </w:style>
  <w:style w:type="character" w:styleId="WW8Num48z0">
    <w:name w:val="WW8Num48z0"/>
    <w:qFormat/>
    <w:rPr>
      <w:rFonts w:ascii="Wingdings" w:hAnsi="Wingdings" w:cs="Wingdings"/>
      <w:sz w:val="16"/>
    </w:rPr>
  </w:style>
  <w:style w:type="character" w:styleId="WW8Num49z0">
    <w:name w:val="WW8Num49z0"/>
    <w:qFormat/>
    <w:rPr>
      <w:rFonts w:ascii="Symbol" w:hAnsi="Symbol" w:cs="Symbol"/>
      <w:color w:val="auto"/>
      <w:sz w:val="28"/>
    </w:rPr>
  </w:style>
  <w:style w:type="character" w:styleId="WW8Num50z0">
    <w:name w:val="WW8Num50z0"/>
    <w:qFormat/>
    <w:rPr>
      <w:rFonts w:ascii="Wingdings" w:hAnsi="Wingdings" w:cs="Wingdings"/>
      <w:color w:val="000000"/>
      <w:sz w:val="16"/>
    </w:rPr>
  </w:style>
  <w:style w:type="character" w:styleId="WW8Num51z0">
    <w:name w:val="WW8Num51z0"/>
    <w:qFormat/>
    <w:rPr>
      <w:rFonts w:ascii="Symbol" w:hAnsi="Symbol" w:cs="Symbol"/>
    </w:rPr>
  </w:style>
  <w:style w:type="character" w:styleId="WW8Num52z0">
    <w:name w:val="WW8Num52z0"/>
    <w:qFormat/>
    <w:rPr>
      <w:rFonts w:ascii="Wingdings" w:hAnsi="Wingdings" w:cs="Wingdings"/>
      <w:color w:val="000000"/>
      <w:sz w:val="16"/>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color w:val="000000"/>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color w:val="000000"/>
      <w:sz w:val="16"/>
    </w:rPr>
  </w:style>
  <w:style w:type="character" w:styleId="WW8Num58z0">
    <w:name w:val="WW8Num58z0"/>
    <w:qFormat/>
    <w:rPr>
      <w:rFonts w:ascii="Wingdings" w:hAnsi="Wingdings" w:cs="Wingdings"/>
      <w:color w:val="000000"/>
      <w:sz w:val="16"/>
    </w:rPr>
  </w:style>
  <w:style w:type="character" w:styleId="WW8Num59z0">
    <w:name w:val="WW8Num59z0"/>
    <w:qFormat/>
    <w:rPr>
      <w:rFonts w:ascii="Wingdings" w:hAnsi="Wingdings" w:cs="Wingdings"/>
      <w:color w:val="000000"/>
      <w:sz w:val="16"/>
    </w:rPr>
  </w:style>
  <w:style w:type="character" w:styleId="WW8Num60z0">
    <w:name w:val="WW8Num60z0"/>
    <w:qFormat/>
    <w:rPr>
      <w:rFonts w:ascii="Symbol" w:hAnsi="Symbol" w:cs="Symbol"/>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rPr>
  </w:style>
  <w:style w:type="character" w:styleId="WW8Num62z0">
    <w:name w:val="WW8Num62z0"/>
    <w:qFormat/>
    <w:rPr>
      <w:rFonts w:ascii="Wingdings" w:hAnsi="Wingdings" w:cs="Wingdings"/>
      <w:color w:val="000000"/>
      <w:sz w:val="16"/>
    </w:rPr>
  </w:style>
  <w:style w:type="character" w:styleId="WW8Num63z0">
    <w:name w:val="WW8Num63z0"/>
    <w:qFormat/>
    <w:rPr>
      <w:rFonts w:ascii="Wingdings" w:hAnsi="Wingdings" w:cs="Wingdings"/>
      <w:color w:val="000000"/>
      <w:sz w:val="16"/>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color w:val="000000"/>
      <w:sz w:val="16"/>
    </w:rPr>
  </w:style>
  <w:style w:type="character" w:styleId="WW8Num67z0">
    <w:name w:val="WW8Num67z0"/>
    <w:qFormat/>
    <w:rPr>
      <w:rFonts w:ascii="Symbol" w:hAnsi="Symbol" w:cs="Symbol"/>
    </w:rPr>
  </w:style>
  <w:style w:type="character" w:styleId="WW8Num67z1">
    <w:name w:val="WW8Num67z1"/>
    <w:qFormat/>
    <w:rPr>
      <w:rFonts w:ascii="Times New Roman" w:hAnsi="Times New Roman" w:eastAsia="Times New Roman" w:cs="Times New Roman"/>
    </w:rPr>
  </w:style>
  <w:style w:type="character" w:styleId="WW8Num67z4">
    <w:name w:val="WW8Num67z4"/>
    <w:qFormat/>
    <w:rPr>
      <w:rFonts w:ascii="Courier New" w:hAnsi="Courier New" w:cs="Courier New"/>
    </w:rPr>
  </w:style>
  <w:style w:type="character" w:styleId="WW8Num67z5">
    <w:name w:val="WW8Num67z5"/>
    <w:qFormat/>
    <w:rPr>
      <w:rFonts w:ascii="Wingdings" w:hAnsi="Wingdings" w:cs="Wingdings"/>
    </w:rPr>
  </w:style>
  <w:style w:type="character" w:styleId="WW8Num68z0">
    <w:name w:val="WW8Num68z0"/>
    <w:qFormat/>
    <w:rPr>
      <w:rFonts w:ascii="Wingdings" w:hAnsi="Wingdings" w:cs="Wingdings"/>
      <w:color w:val="000000"/>
      <w:sz w:val="16"/>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color w:val="000080"/>
      <w:sz w:val="16"/>
    </w:rPr>
  </w:style>
  <w:style w:type="character" w:styleId="WW8Num74z0">
    <w:name w:val="WW8Num74z0"/>
    <w:qFormat/>
    <w:rPr>
      <w:rFonts w:ascii="Wingdings" w:hAnsi="Wingdings" w:cs="Wingdings"/>
      <w:color w:val="000000"/>
      <w:sz w:val="16"/>
    </w:rPr>
  </w:style>
  <w:style w:type="character" w:styleId="WW8Num75z0">
    <w:name w:val="WW8Num75z0"/>
    <w:qFormat/>
    <w:rPr>
      <w:rFonts w:ascii="Symbol" w:hAnsi="Symbol" w:cs="Symbol"/>
    </w:rPr>
  </w:style>
  <w:style w:type="character" w:styleId="WW8Num76z0">
    <w:name w:val="WW8Num76z0"/>
    <w:qFormat/>
    <w:rPr>
      <w:rFonts w:ascii="Symbol" w:hAnsi="Symbol" w:cs="Symbol"/>
      <w:color w:val="000000"/>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rPr>
  </w:style>
  <w:style w:type="character" w:styleId="WW8Num80z0">
    <w:name w:val="WW8Num80z0"/>
    <w:qFormat/>
    <w:rPr>
      <w:rFonts w:ascii="Wingdings" w:hAnsi="Wingdings" w:cs="Wingdings"/>
      <w:color w:val="000000"/>
      <w:sz w:val="16"/>
    </w:rPr>
  </w:style>
  <w:style w:type="character" w:styleId="WW8Num81z0">
    <w:name w:val="WW8Num81z0"/>
    <w:qFormat/>
    <w:rPr>
      <w:rFonts w:ascii="Wingdings" w:hAnsi="Wingdings" w:cs="Wingdings"/>
      <w:color w:val="000000"/>
      <w:sz w:val="16"/>
    </w:rPr>
  </w:style>
  <w:style w:type="character" w:styleId="WW8Num82z0">
    <w:name w:val="WW8Num82z0"/>
    <w:qFormat/>
    <w:rPr>
      <w:rFonts w:ascii="Wingdings" w:hAnsi="Wingdings" w:cs="Wingdings"/>
      <w:color w:val="000080"/>
      <w:sz w:val="16"/>
    </w:rPr>
  </w:style>
  <w:style w:type="character" w:styleId="WW8Num83z0">
    <w:name w:val="WW8Num83z0"/>
    <w:qFormat/>
    <w:rPr>
      <w:rFonts w:ascii="Wingdings" w:hAnsi="Wingdings" w:cs="Wingdings"/>
      <w:color w:val="000000"/>
      <w:sz w:val="16"/>
    </w:rPr>
  </w:style>
  <w:style w:type="character" w:styleId="WW8Num84z0">
    <w:name w:val="WW8Num84z0"/>
    <w:qFormat/>
    <w:rPr>
      <w:rFonts w:ascii="Symbol" w:hAnsi="Symbol" w:cs="Symbol"/>
    </w:rPr>
  </w:style>
  <w:style w:type="character" w:styleId="WW8Num85z0">
    <w:name w:val="WW8Num85z0"/>
    <w:qFormat/>
    <w:rPr>
      <w:rFonts w:ascii="Wingdings" w:hAnsi="Wingdings" w:cs="Wingdings"/>
      <w:color w:val="000000"/>
      <w:sz w:val="16"/>
    </w:rPr>
  </w:style>
  <w:style w:type="character" w:styleId="WW8Num86z0">
    <w:name w:val="WW8Num86z0"/>
    <w:qFormat/>
    <w:rPr>
      <w:rFonts w:ascii="Symbol" w:hAnsi="Symbol" w:cs="Symbol"/>
      <w:color w:val="auto"/>
    </w:rPr>
  </w:style>
  <w:style w:type="character" w:styleId="WW8Num87z0">
    <w:name w:val="WW8Num87z0"/>
    <w:qFormat/>
    <w:rPr>
      <w:rFonts w:ascii="Wingdings" w:hAnsi="Wingdings" w:cs="Wingdings"/>
      <w:color w:val="000080"/>
      <w:sz w:val="16"/>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Wingdings" w:hAnsi="Wingdings" w:cs="Wingdings"/>
      <w:color w:val="000000"/>
      <w:sz w:val="16"/>
    </w:rPr>
  </w:style>
  <w:style w:type="character" w:styleId="WW8Num93z0">
    <w:name w:val="WW8Num93z0"/>
    <w:qFormat/>
    <w:rPr>
      <w:rFonts w:ascii="Wingdings" w:hAnsi="Wingdings" w:cs="Wingdings"/>
      <w:color w:val="000000"/>
      <w:sz w:val="16"/>
    </w:rPr>
  </w:style>
  <w:style w:type="character" w:styleId="WW8Num94z0">
    <w:name w:val="WW8Num94z0"/>
    <w:qFormat/>
    <w:rPr>
      <w:rFonts w:ascii="Wingdings" w:hAnsi="Wingdings" w:cs="Wingdings"/>
      <w:color w:val="000000"/>
      <w:sz w:val="16"/>
    </w:rPr>
  </w:style>
  <w:style w:type="character" w:styleId="WW8Num95z0">
    <w:name w:val="WW8Num95z0"/>
    <w:qFormat/>
    <w:rPr>
      <w:rFonts w:ascii="Symbol" w:hAnsi="Symbol" w:cs="Symbol"/>
      <w:color w:val="000000"/>
      <w:sz w:val="16"/>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auto"/>
      <w:sz w:val="28"/>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color w:val="auto"/>
      <w:sz w:val="28"/>
    </w:rPr>
  </w:style>
  <w:style w:type="character" w:styleId="WW8Num100z0">
    <w:name w:val="WW8Num100z0"/>
    <w:qFormat/>
    <w:rPr>
      <w:rFonts w:ascii="Wingdings" w:hAnsi="Wingdings" w:cs="Wingdings"/>
      <w:color w:val="000080"/>
      <w:sz w:val="16"/>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Wingdings" w:hAnsi="Wingdings" w:cs="Wingdings"/>
      <w:color w:val="000000"/>
      <w:sz w:val="16"/>
    </w:rPr>
  </w:style>
  <w:style w:type="character" w:styleId="WW8Num104z0">
    <w:name w:val="WW8Num104z0"/>
    <w:qFormat/>
    <w:rPr>
      <w:rFonts w:ascii="Wingdings" w:hAnsi="Wingdings" w:cs="Wingdings"/>
      <w:color w:val="000000"/>
      <w:sz w:val="16"/>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Wingdings" w:hAnsi="Wingdings" w:cs="Wingdings"/>
      <w:color w:val="000000"/>
      <w:sz w:val="16"/>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Wingdings" w:hAnsi="Wingdings" w:cs="Wingdings"/>
      <w:sz w:val="16"/>
    </w:rPr>
  </w:style>
  <w:style w:type="character" w:styleId="WW8Num111z0">
    <w:name w:val="WW8Num111z0"/>
    <w:qFormat/>
    <w:rPr>
      <w:rFonts w:ascii="Wingdings" w:hAnsi="Wingdings" w:cs="Wingdings"/>
      <w:color w:val="000000"/>
      <w:sz w:val="16"/>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color w:val="000000"/>
      <w:sz w:val="16"/>
    </w:rPr>
  </w:style>
  <w:style w:type="character" w:styleId="WW8Num116z0">
    <w:name w:val="WW8Num116z0"/>
    <w:qFormat/>
    <w:rPr>
      <w:rFonts w:ascii="Symbol" w:hAnsi="Symbol" w:cs="Symbol"/>
    </w:rPr>
  </w:style>
  <w:style w:type="character" w:styleId="WW8Num117z0">
    <w:name w:val="WW8Num117z0"/>
    <w:qFormat/>
    <w:rPr>
      <w:rFonts w:ascii="Wingdings" w:hAnsi="Wingdings" w:cs="Wingdings"/>
      <w:color w:val="000000"/>
      <w:sz w:val="16"/>
    </w:rPr>
  </w:style>
  <w:style w:type="character" w:styleId="WW8Num118z0">
    <w:name w:val="WW8Num118z0"/>
    <w:qFormat/>
    <w:rPr>
      <w:rFonts w:ascii="Wingdings" w:hAnsi="Wingdings" w:cs="Wingdings"/>
      <w:color w:val="000000"/>
      <w:sz w:val="16"/>
    </w:rPr>
  </w:style>
  <w:style w:type="character" w:styleId="WW8Num119z0">
    <w:name w:val="WW8Num119z0"/>
    <w:qFormat/>
    <w:rPr>
      <w:rFonts w:ascii="Symbol" w:hAnsi="Symbol" w:cs="Symbol"/>
    </w:rPr>
  </w:style>
  <w:style w:type="character" w:styleId="WW8Num120z0">
    <w:name w:val="WW8Num120z0"/>
    <w:qFormat/>
    <w:rPr>
      <w:rFonts w:ascii="Wingdings" w:hAnsi="Wingdings" w:cs="Wingdings"/>
      <w:color w:val="000000"/>
      <w:sz w:val="16"/>
    </w:rPr>
  </w:style>
  <w:style w:type="character" w:styleId="WW8Num121z0">
    <w:name w:val="WW8Num121z0"/>
    <w:qFormat/>
    <w:rPr>
      <w:rFonts w:ascii="Wingdings" w:hAnsi="Wingdings" w:cs="Wingdings"/>
      <w:color w:val="000080"/>
      <w:sz w:val="16"/>
    </w:rPr>
  </w:style>
  <w:style w:type="character" w:styleId="WW8Num122z0">
    <w:name w:val="WW8Num122z0"/>
    <w:qFormat/>
    <w:rPr>
      <w:rFonts w:ascii="Wingdings" w:hAnsi="Wingdings" w:cs="Wingdings"/>
      <w:color w:val="000080"/>
      <w:sz w:val="16"/>
    </w:rPr>
  </w:style>
  <w:style w:type="character" w:styleId="WW8Num123z0">
    <w:name w:val="WW8Num123z0"/>
    <w:qFormat/>
    <w:rPr>
      <w:rFonts w:ascii="Symbol" w:hAnsi="Symbol" w:cs="Symbol"/>
    </w:rPr>
  </w:style>
  <w:style w:type="character" w:styleId="WW8Num124z0">
    <w:name w:val="WW8Num124z0"/>
    <w:qFormat/>
    <w:rPr>
      <w:rFonts w:ascii="Wingdings" w:hAnsi="Wingdings" w:cs="Wingdings"/>
      <w:color w:val="000000"/>
      <w:sz w:val="16"/>
    </w:rPr>
  </w:style>
  <w:style w:type="character" w:styleId="WW8Num125z0">
    <w:name w:val="WW8Num125z0"/>
    <w:qFormat/>
    <w:rPr>
      <w:rFonts w:ascii="Wingdings" w:hAnsi="Wingdings" w:cs="Wingdings"/>
      <w:color w:val="000000"/>
      <w:sz w:val="16"/>
    </w:rPr>
  </w:style>
  <w:style w:type="character" w:styleId="WW8Num126z0">
    <w:name w:val="WW8Num126z0"/>
    <w:qFormat/>
    <w:rPr>
      <w:rFonts w:ascii="Wingdings" w:hAnsi="Wingdings" w:cs="Wingdings"/>
      <w:color w:val="000000"/>
      <w:sz w:val="16"/>
    </w:rPr>
  </w:style>
  <w:style w:type="character" w:styleId="WW8Num127z0">
    <w:name w:val="WW8Num127z0"/>
    <w:qFormat/>
    <w:rPr>
      <w:rFonts w:ascii="Wingdings" w:hAnsi="Wingdings" w:cs="Wingdings"/>
      <w:color w:val="000000"/>
      <w:sz w:val="16"/>
    </w:rPr>
  </w:style>
  <w:style w:type="character" w:styleId="WW8Num128z0">
    <w:name w:val="WW8Num128z0"/>
    <w:qFormat/>
    <w:rPr>
      <w:rFonts w:ascii="Wingdings" w:hAnsi="Wingdings" w:cs="Wingdings"/>
      <w:color w:val="000000"/>
      <w:sz w:val="16"/>
    </w:rPr>
  </w:style>
  <w:style w:type="character" w:styleId="WW8Num129z0">
    <w:name w:val="WW8Num129z0"/>
    <w:qFormat/>
    <w:rPr>
      <w:rFonts w:ascii="Symbol" w:hAnsi="Symbol" w:cs="Symbol"/>
      <w:color w:val="auto"/>
    </w:rPr>
  </w:style>
  <w:style w:type="character" w:styleId="WW8Num130z0">
    <w:name w:val="WW8Num130z0"/>
    <w:qFormat/>
    <w:rPr>
      <w:rFonts w:ascii="Symbol" w:hAnsi="Symbol" w:cs="Symbol"/>
      <w:color w:val="auto"/>
      <w:sz w:val="28"/>
    </w:rPr>
  </w:style>
  <w:style w:type="character" w:styleId="WW8Num131z0">
    <w:name w:val="WW8Num131z0"/>
    <w:qFormat/>
    <w:rPr/>
  </w:style>
  <w:style w:type="character" w:styleId="WW8Num132z0">
    <w:name w:val="WW8Num132z0"/>
    <w:qFormat/>
    <w:rPr>
      <w:rFonts w:ascii="Wingdings" w:hAnsi="Wingdings" w:cs="Wingdings"/>
      <w:color w:val="000000"/>
      <w:sz w:val="16"/>
    </w:rPr>
  </w:style>
  <w:style w:type="character" w:styleId="WW8Num133z0">
    <w:name w:val="WW8Num133z0"/>
    <w:qFormat/>
    <w:rPr>
      <w:rFonts w:ascii="Wingdings" w:hAnsi="Wingdings" w:cs="Wingdings"/>
      <w:color w:val="000000"/>
      <w:sz w:val="16"/>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Wingdings" w:hAnsi="Wingdings" w:cs="Wingdings"/>
      <w:color w:val="000000"/>
      <w:sz w:val="16"/>
    </w:rPr>
  </w:style>
  <w:style w:type="character" w:styleId="WW8Num136z0">
    <w:name w:val="WW8Num136z0"/>
    <w:qFormat/>
    <w:rPr>
      <w:rFonts w:ascii="Wingdings" w:hAnsi="Wingdings" w:cs="Wingdings"/>
      <w:color w:val="000080"/>
      <w:sz w:val="16"/>
    </w:rPr>
  </w:style>
  <w:style w:type="character" w:styleId="WW8Num137z0">
    <w:name w:val="WW8Num137z0"/>
    <w:qFormat/>
    <w:rPr>
      <w:rFonts w:ascii="Wingdings" w:hAnsi="Wingdings" w:cs="Wingdings"/>
      <w:color w:val="000000"/>
      <w:sz w:val="16"/>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28"/>
    </w:rPr>
  </w:style>
  <w:style w:type="character" w:styleId="WW8Num140z0">
    <w:name w:val="WW8Num140z0"/>
    <w:qFormat/>
    <w:rPr>
      <w:rFonts w:ascii="Wingdings" w:hAnsi="Wingdings" w:cs="Wingdings"/>
      <w:color w:val="000080"/>
      <w:sz w:val="16"/>
    </w:rPr>
  </w:style>
  <w:style w:type="character" w:styleId="WW8Num141z0">
    <w:name w:val="WW8Num141z0"/>
    <w:qFormat/>
    <w:rPr>
      <w:rFonts w:ascii="Symbol" w:hAnsi="Symbol" w:cs="Symbol"/>
    </w:rPr>
  </w:style>
  <w:style w:type="character" w:styleId="WW8Num143z0">
    <w:name w:val="WW8Num143z0"/>
    <w:qFormat/>
    <w:rPr>
      <w:rFonts w:ascii="Wingdings" w:hAnsi="Wingdings" w:cs="Wingdings"/>
      <w:color w:val="000000"/>
      <w:sz w:val="16"/>
    </w:rPr>
  </w:style>
  <w:style w:type="character" w:styleId="WW8Num144z0">
    <w:name w:val="WW8Num144z0"/>
    <w:qFormat/>
    <w:rPr>
      <w:rFonts w:ascii="Wingdings" w:hAnsi="Wingdings" w:cs="Wingdings"/>
      <w:sz w:val="16"/>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Wingdings" w:hAnsi="Wingdings" w:cs="Wingdings"/>
      <w:sz w:val="16"/>
    </w:rPr>
  </w:style>
  <w:style w:type="character" w:styleId="WW8NumSt34z0">
    <w:name w:val="WW8NumSt3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jc w:val="center"/>
    </w:pPr>
    <w:rPr>
      <w:rFonts w:ascii="Garamond" w:hAnsi="Garamond" w:cs="Garamond"/>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Garamond" w:hAnsi="Garamond" w:cs="Garamond"/>
      <w:b/>
      <w:sz w:val="32"/>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ind w:firstLine="36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firstLine="720" w:start="0" w:end="0"/>
    </w:pPr>
    <w:rPr>
      <w:sz w:val="24"/>
    </w:rPr>
  </w:style>
  <w:style w:type="paragraph" w:styleId="BodyText2">
    <w:name w:val="Body Text 2"/>
    <w:basedOn w:val="Normal"/>
    <w:qFormat/>
    <w:pPr/>
    <w:rPr>
      <w:sz w:val="48"/>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center"/>
    </w:pPr>
    <w:rPr>
      <w:rFonts w:ascii="Garamond" w:hAnsi="Garamond" w:cs="Garamond"/>
      <w:b/>
      <w:color w:val="0000FF"/>
    </w:rPr>
  </w:style>
  <w:style w:type="paragraph" w:styleId="NormalWeb">
    <w:name w:val="Normal (Web)"/>
    <w:basedOn w:val="Normal"/>
    <w:qFormat/>
    <w:pPr>
      <w:spacing w:before="100" w:after="10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2001-04-06T16:06:00Z</dcterms:created>
  <dc:creator>J. Christopher Champion</dc:creator>
  <dc:description/>
  <dc:language>en-CA</dc:language>
  <cp:lastModifiedBy>bwhitman</cp:lastModifiedBy>
  <cp:lastPrinted>2001-04-11T13:30:00Z</cp:lastPrinted>
  <dcterms:modified xsi:type="dcterms:W3CDTF">2001-04-11T16:11:00Z</dcterms:modified>
  <cp:revision>8</cp:revision>
  <dc:subject/>
  <dc:title>Top Ten Power Marketers (Q1-Q3 98)</dc:title>
</cp:coreProperties>
</file>