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DRAFT CALIFORNIA BUSINESS PLAN</w:t>
      </w:r>
    </w:p>
    <w:p>
      <w:pPr>
        <w:pStyle w:val="Normal"/>
        <w:rPr>
          <w:b/>
          <w:bCs/>
          <w:sz w:val="24"/>
          <w:u w:val="single"/>
        </w:rPr>
      </w:pPr>
      <w:r>
        <w:rPr>
          <w:b/>
          <w:bCs/>
          <w:sz w:val="24"/>
          <w:u w:val="single"/>
        </w:rPr>
      </w:r>
    </w:p>
    <w:p>
      <w:pPr>
        <w:pStyle w:val="Subtitle"/>
        <w:rPr>
          <w:smallCaps/>
        </w:rPr>
      </w:pPr>
      <w:r>
        <w:rPr>
          <w:smallCaps/>
        </w:rPr>
        <w:t xml:space="preserve">Mission  </w:t>
      </w:r>
    </w:p>
    <w:p>
      <w:pPr>
        <w:pStyle w:val="Normal"/>
        <w:numPr>
          <w:ilvl w:val="0"/>
          <w:numId w:val="13"/>
        </w:numPr>
        <w:rPr>
          <w:sz w:val="24"/>
        </w:rPr>
      </w:pPr>
      <w:r>
        <w:rPr>
          <w:sz w:val="24"/>
        </w:rPr>
        <w:t>Integrate California effort into GA’s broader regional and national efforts. Re-focus effort on containing California while simultaneously supporting and re-enforcing Western, regional and federal activities.</w:t>
      </w:r>
    </w:p>
    <w:p>
      <w:pPr>
        <w:pStyle w:val="Normal"/>
        <w:rPr>
          <w:sz w:val="24"/>
        </w:rPr>
      </w:pPr>
      <w:r>
        <w:rPr>
          <w:sz w:val="24"/>
        </w:rPr>
      </w:r>
    </w:p>
    <w:p>
      <w:pPr>
        <w:pStyle w:val="Heading2"/>
        <w:ind w:hanging="0" w:start="0"/>
        <w:rPr>
          <w:smallCaps/>
        </w:rPr>
      </w:pPr>
      <w:r>
        <w:rPr>
          <w:smallCaps/>
          <w:rPrChange w:id="0" w:author="Unknown" w:date="0-00-00T00:00:00Z"/>
        </w:rPr>
        <w:t>Goals</w:t>
      </w:r>
    </w:p>
    <w:p>
      <w:pPr>
        <w:pStyle w:val="Normal"/>
        <w:numPr>
          <w:ilvl w:val="0"/>
          <w:numId w:val="3"/>
        </w:numPr>
        <w:rPr>
          <w:sz w:val="24"/>
        </w:rPr>
      </w:pPr>
      <w:r>
        <w:rPr>
          <w:sz w:val="24"/>
        </w:rPr>
        <w:t xml:space="preserve">Minimize damage to existing markets and create new commercial opportunities where possible. </w:t>
      </w:r>
    </w:p>
    <w:p>
      <w:pPr>
        <w:pStyle w:val="Normal"/>
        <w:numPr>
          <w:ilvl w:val="0"/>
          <w:numId w:val="3"/>
        </w:numPr>
        <w:rPr>
          <w:sz w:val="24"/>
        </w:rPr>
      </w:pPr>
      <w:r>
        <w:rPr>
          <w:sz w:val="24"/>
        </w:rPr>
        <w:t>Achieve core business-driven objectives identified to date:  (a) maintain direct access in California; (b) prevent retroactive end to the rate freeze; (c) prevent rate caps; (d) enhance open transmission access; (e) streamline siting/permitting.</w:t>
      </w:r>
    </w:p>
    <w:p>
      <w:pPr>
        <w:pStyle w:val="Normal"/>
        <w:numPr>
          <w:ilvl w:val="0"/>
          <w:numId w:val="3"/>
        </w:numPr>
        <w:rPr>
          <w:sz w:val="24"/>
        </w:rPr>
      </w:pPr>
      <w:r>
        <w:rPr>
          <w:sz w:val="24"/>
        </w:rPr>
        <w:t>Limit the affect of the California virus by (a) isolating the coastal Democratic Governors and (b) holding the line against retrograde government regulation this summer should severe blackouts become frequent in California and the West.</w:t>
      </w:r>
    </w:p>
    <w:p>
      <w:pPr>
        <w:pStyle w:val="Normal"/>
        <w:rPr>
          <w:sz w:val="24"/>
        </w:rPr>
      </w:pPr>
      <w:r>
        <w:rPr>
          <w:sz w:val="24"/>
        </w:rPr>
      </w:r>
    </w:p>
    <w:p>
      <w:pPr>
        <w:pStyle w:val="Heading2"/>
        <w:ind w:hanging="0" w:start="0"/>
        <w:rPr>
          <w:smallCaps/>
        </w:rPr>
      </w:pPr>
      <w:r>
        <w:rPr>
          <w:smallCaps/>
          <w:rPrChange w:id="0" w:author="Unknown" w:date="0-00-00T00:00:00Z"/>
        </w:rPr>
        <w:t xml:space="preserve">Principles Guiding Effort </w:t>
      </w:r>
    </w:p>
    <w:p>
      <w:pPr>
        <w:pStyle w:val="Normal"/>
        <w:numPr>
          <w:ilvl w:val="1"/>
          <w:numId w:val="4"/>
        </w:numPr>
        <w:tabs>
          <w:tab w:val="clear" w:pos="720"/>
        </w:tabs>
        <w:ind w:hanging="360" w:start="360" w:end="0"/>
        <w:rPr>
          <w:sz w:val="24"/>
        </w:rPr>
      </w:pPr>
      <w:r>
        <w:rPr>
          <w:sz w:val="24"/>
        </w:rPr>
        <w:t>Engage where effort is unambiguously needed to maintain market/commercial opportunities (</w:t>
      </w:r>
      <w:r>
        <w:rPr>
          <w:b/>
          <w:sz w:val="24"/>
        </w:rPr>
        <w:t>high standard for participation)</w:t>
      </w:r>
    </w:p>
    <w:p>
      <w:pPr>
        <w:pStyle w:val="Normal"/>
        <w:numPr>
          <w:ilvl w:val="1"/>
          <w:numId w:val="4"/>
        </w:numPr>
        <w:tabs>
          <w:tab w:val="clear" w:pos="720"/>
        </w:tabs>
        <w:ind w:hanging="360" w:start="360" w:end="0"/>
        <w:rPr>
          <w:sz w:val="24"/>
        </w:rPr>
      </w:pPr>
      <w:r>
        <w:rPr>
          <w:sz w:val="24"/>
        </w:rPr>
        <w:t>Engage where possible to create market/commercial opportunities (</w:t>
      </w:r>
      <w:r>
        <w:rPr>
          <w:b/>
          <w:sz w:val="24"/>
        </w:rPr>
        <w:t xml:space="preserve">and potential for success is high) </w:t>
      </w:r>
      <w:r>
        <w:rPr>
          <w:sz w:val="24"/>
        </w:rPr>
        <w:t>e.g., demand buy-down, real-time pricing rate design, DG, DSM, utility risk management, utility outsource, core/non-core classification.</w:t>
      </w:r>
    </w:p>
    <w:p>
      <w:pPr>
        <w:pStyle w:val="Normal"/>
        <w:rPr>
          <w:sz w:val="24"/>
        </w:rPr>
      </w:pPr>
      <w:r>
        <w:rPr>
          <w:sz w:val="24"/>
        </w:rPr>
      </w:r>
    </w:p>
    <w:p>
      <w:pPr>
        <w:pStyle w:val="Heading2"/>
        <w:ind w:hanging="0" w:start="0"/>
        <w:rPr>
          <w:smallCaps/>
        </w:rPr>
      </w:pPr>
      <w:r>
        <w:rPr>
          <w:smallCaps/>
          <w:rPrChange w:id="0" w:author="Unknown" w:date="0-00-00T00:00:00Z"/>
        </w:rPr>
        <w:t xml:space="preserve">Messages  </w:t>
      </w:r>
    </w:p>
    <w:p>
      <w:pPr>
        <w:pStyle w:val="Normal"/>
        <w:numPr>
          <w:ilvl w:val="1"/>
          <w:numId w:val="8"/>
        </w:numPr>
        <w:tabs>
          <w:tab w:val="clear" w:pos="720"/>
        </w:tabs>
        <w:ind w:hanging="360" w:start="360" w:end="0"/>
        <w:rPr>
          <w:sz w:val="24"/>
        </w:rPr>
      </w:pPr>
      <w:r>
        <w:rPr>
          <w:sz w:val="24"/>
        </w:rPr>
        <w:t>De-regulation—done right—remains the best policy choice</w:t>
      </w:r>
    </w:p>
    <w:p>
      <w:pPr>
        <w:pStyle w:val="Normal"/>
        <w:numPr>
          <w:ilvl w:val="1"/>
          <w:numId w:val="8"/>
        </w:numPr>
        <w:tabs>
          <w:tab w:val="clear" w:pos="720"/>
        </w:tabs>
        <w:ind w:hanging="360" w:start="360" w:end="0"/>
        <w:rPr>
          <w:sz w:val="24"/>
        </w:rPr>
      </w:pPr>
      <w:r>
        <w:rPr>
          <w:sz w:val="24"/>
        </w:rPr>
        <w:t>Increase supply</w:t>
      </w:r>
    </w:p>
    <w:p>
      <w:pPr>
        <w:pStyle w:val="Normal"/>
        <w:numPr>
          <w:ilvl w:val="1"/>
          <w:numId w:val="8"/>
        </w:numPr>
        <w:tabs>
          <w:tab w:val="clear" w:pos="720"/>
        </w:tabs>
        <w:ind w:hanging="360" w:start="360" w:end="0"/>
        <w:rPr>
          <w:sz w:val="24"/>
        </w:rPr>
      </w:pPr>
      <w:r>
        <w:rPr>
          <w:sz w:val="24"/>
        </w:rPr>
        <w:t>Decrease demand</w:t>
      </w:r>
    </w:p>
    <w:p>
      <w:pPr>
        <w:pStyle w:val="Normal"/>
        <w:numPr>
          <w:ilvl w:val="1"/>
          <w:numId w:val="8"/>
        </w:numPr>
        <w:tabs>
          <w:tab w:val="clear" w:pos="720"/>
        </w:tabs>
        <w:ind w:hanging="360" w:start="360" w:end="0"/>
        <w:rPr>
          <w:sz w:val="24"/>
        </w:rPr>
      </w:pPr>
      <w:r>
        <w:rPr>
          <w:sz w:val="24"/>
        </w:rPr>
        <w:t>Maintain the solvency of utilities</w:t>
      </w:r>
    </w:p>
    <w:p>
      <w:pPr>
        <w:pStyle w:val="Normal"/>
        <w:numPr>
          <w:ilvl w:val="1"/>
          <w:numId w:val="8"/>
        </w:numPr>
        <w:tabs>
          <w:tab w:val="clear" w:pos="720"/>
        </w:tabs>
        <w:ind w:hanging="360" w:start="360" w:end="0"/>
        <w:rPr>
          <w:sz w:val="24"/>
        </w:rPr>
      </w:pPr>
      <w:r>
        <w:rPr>
          <w:sz w:val="24"/>
        </w:rPr>
        <w:t>Direct Access</w:t>
      </w:r>
    </w:p>
    <w:p>
      <w:pPr>
        <w:pStyle w:val="Normal"/>
        <w:numPr>
          <w:ilvl w:val="1"/>
          <w:numId w:val="8"/>
        </w:numPr>
        <w:tabs>
          <w:tab w:val="clear" w:pos="720"/>
        </w:tabs>
        <w:ind w:hanging="360" w:start="360" w:end="0"/>
        <w:rPr>
          <w:sz w:val="24"/>
        </w:rPr>
      </w:pPr>
      <w:r>
        <w:rPr>
          <w:sz w:val="24"/>
        </w:rPr>
        <w:t>Nationalization is bad public policy</w:t>
      </w:r>
    </w:p>
    <w:p>
      <w:pPr>
        <w:pStyle w:val="Normal"/>
        <w:rPr>
          <w:sz w:val="24"/>
        </w:rPr>
      </w:pPr>
      <w:r>
        <w:rPr>
          <w:sz w:val="24"/>
        </w:rPr>
      </w:r>
    </w:p>
    <w:p>
      <w:pPr>
        <w:pStyle w:val="Heading2"/>
        <w:ind w:hanging="0" w:start="0"/>
        <w:rPr>
          <w:smallCaps/>
        </w:rPr>
      </w:pPr>
      <w:r>
        <w:rPr>
          <w:smallCaps/>
          <w:rPrChange w:id="0" w:author="Unknown" w:date="0-00-00T00:00:00Z"/>
        </w:rPr>
        <w:t>Sacramento—Paul Kaufman, Sandy McCubbin</w:t>
      </w:r>
    </w:p>
    <w:p>
      <w:pPr>
        <w:pStyle w:val="Normal"/>
        <w:numPr>
          <w:ilvl w:val="1"/>
          <w:numId w:val="9"/>
        </w:numPr>
        <w:tabs>
          <w:tab w:val="clear" w:pos="720"/>
        </w:tabs>
        <w:ind w:hanging="360" w:start="360" w:end="0"/>
        <w:rPr>
          <w:sz w:val="24"/>
        </w:rPr>
      </w:pPr>
      <w:r>
        <w:rPr>
          <w:sz w:val="24"/>
        </w:rPr>
        <w:t>Enron will continue to require some level of engagement in Sacramento, during and after the extraordinary session.</w:t>
      </w:r>
    </w:p>
    <w:p>
      <w:pPr>
        <w:pStyle w:val="Normal"/>
        <w:numPr>
          <w:ilvl w:val="1"/>
          <w:numId w:val="2"/>
        </w:numPr>
        <w:tabs>
          <w:tab w:val="clear" w:pos="720"/>
        </w:tabs>
        <w:ind w:hanging="360" w:start="360" w:end="0"/>
        <w:rPr>
          <w:sz w:val="24"/>
        </w:rPr>
      </w:pPr>
      <w:r>
        <w:rPr>
          <w:sz w:val="24"/>
        </w:rPr>
        <w:t>Redouble efforts to identify our goals and our messages expressly and specifically.</w:t>
      </w:r>
    </w:p>
    <w:p>
      <w:pPr>
        <w:pStyle w:val="Normal"/>
        <w:numPr>
          <w:ilvl w:val="2"/>
          <w:numId w:val="16"/>
        </w:numPr>
        <w:tabs>
          <w:tab w:val="clear" w:pos="720"/>
        </w:tabs>
        <w:ind w:hanging="360" w:start="1080" w:end="0"/>
        <w:rPr>
          <w:sz w:val="24"/>
        </w:rPr>
      </w:pPr>
      <w:r>
        <w:rPr>
          <w:sz w:val="24"/>
        </w:rPr>
        <w:t xml:space="preserve">Issues: </w:t>
      </w:r>
      <w:r>
        <w:rPr>
          <w:i/>
          <w:iCs/>
          <w:sz w:val="24"/>
        </w:rPr>
        <w:t>Direct Access, rate freeze end-date, DG, demand exchange, demand buy-down, demand response incentives; siting, nationalization, balkanization</w:t>
      </w:r>
    </w:p>
    <w:p>
      <w:pPr>
        <w:pStyle w:val="Normal"/>
        <w:numPr>
          <w:ilvl w:val="1"/>
          <w:numId w:val="9"/>
        </w:numPr>
        <w:tabs>
          <w:tab w:val="clear" w:pos="720"/>
        </w:tabs>
        <w:ind w:hanging="360" w:start="360" w:end="0"/>
        <w:rPr>
          <w:sz w:val="24"/>
        </w:rPr>
      </w:pPr>
      <w:r>
        <w:rPr>
          <w:sz w:val="24"/>
        </w:rPr>
        <w:t xml:space="preserve">Continue to recognize that the fluid nature of Enron’s commercial and corporate objectives will require departure from strict adherence to core issues from time to time, e.g., San Diego rate cap legislation; legislative attempt to re-define generators as public utilities. </w:t>
      </w:r>
    </w:p>
    <w:p>
      <w:pPr>
        <w:pStyle w:val="Normal"/>
        <w:numPr>
          <w:ilvl w:val="1"/>
          <w:numId w:val="9"/>
        </w:numPr>
        <w:tabs>
          <w:tab w:val="clear" w:pos="720"/>
        </w:tabs>
        <w:ind w:hanging="360" w:start="360" w:end="0"/>
        <w:rPr>
          <w:sz w:val="24"/>
        </w:rPr>
      </w:pPr>
      <w:r>
        <w:rPr>
          <w:sz w:val="24"/>
        </w:rPr>
        <w:t>Outside Staffing:</w:t>
      </w:r>
    </w:p>
    <w:p>
      <w:pPr>
        <w:pStyle w:val="Normal"/>
        <w:numPr>
          <w:ilvl w:val="2"/>
          <w:numId w:val="5"/>
        </w:numPr>
        <w:tabs>
          <w:tab w:val="clear" w:pos="720"/>
        </w:tabs>
        <w:ind w:hanging="360" w:start="1080" w:end="0"/>
        <w:rPr>
          <w:sz w:val="24"/>
        </w:rPr>
      </w:pPr>
      <w:r>
        <w:rPr>
          <w:sz w:val="24"/>
        </w:rPr>
        <w:t>Through May 1:  Maintain outside consultants/counsel at current levels.</w:t>
      </w:r>
    </w:p>
    <w:p>
      <w:pPr>
        <w:pStyle w:val="Normal"/>
        <w:numPr>
          <w:ilvl w:val="2"/>
          <w:numId w:val="5"/>
        </w:numPr>
        <w:tabs>
          <w:tab w:val="clear" w:pos="720"/>
        </w:tabs>
        <w:ind w:hanging="360" w:start="1080" w:end="0"/>
        <w:rPr>
          <w:sz w:val="24"/>
        </w:rPr>
      </w:pPr>
      <w:r>
        <w:rPr>
          <w:sz w:val="24"/>
        </w:rPr>
        <w:t xml:space="preserve">Beginning May 1:  End existing retainer with Goodin, McBride (Mike Day).  </w:t>
      </w:r>
    </w:p>
    <w:p>
      <w:pPr>
        <w:pStyle w:val="Normal"/>
        <w:numPr>
          <w:ilvl w:val="2"/>
          <w:numId w:val="5"/>
        </w:numPr>
        <w:tabs>
          <w:tab w:val="clear" w:pos="720"/>
        </w:tabs>
        <w:ind w:hanging="360" w:start="1080" w:end="0"/>
        <w:rPr>
          <w:sz w:val="24"/>
        </w:rPr>
      </w:pPr>
      <w:r>
        <w:rPr>
          <w:sz w:val="24"/>
        </w:rPr>
        <w:t xml:space="preserve">By end of session: Consolidate outside lobbying activity to single firm.  </w:t>
      </w:r>
    </w:p>
    <w:p>
      <w:pPr>
        <w:pStyle w:val="Normal"/>
        <w:numPr>
          <w:ilvl w:val="0"/>
          <w:numId w:val="7"/>
        </w:numPr>
        <w:rPr>
          <w:sz w:val="24"/>
        </w:rPr>
      </w:pPr>
      <w:r>
        <w:rPr>
          <w:sz w:val="24"/>
        </w:rPr>
        <w:t xml:space="preserve">Internal staffing  </w:t>
      </w:r>
    </w:p>
    <w:p>
      <w:pPr>
        <w:pStyle w:val="Normal"/>
        <w:numPr>
          <w:ilvl w:val="1"/>
          <w:numId w:val="13"/>
        </w:numPr>
        <w:tabs>
          <w:tab w:val="clear" w:pos="720"/>
        </w:tabs>
        <w:ind w:hanging="360" w:start="1080" w:end="0"/>
        <w:rPr>
          <w:sz w:val="24"/>
        </w:rPr>
      </w:pPr>
      <w:r>
        <w:rPr>
          <w:sz w:val="24"/>
        </w:rPr>
        <w:t>In addition to Sandi McCubbin, Paul Kaufman will be in Sacramento 1-2 days/week.</w:t>
      </w:r>
    </w:p>
    <w:p>
      <w:pPr>
        <w:pStyle w:val="Normal"/>
        <w:numPr>
          <w:ilvl w:val="1"/>
          <w:numId w:val="13"/>
        </w:numPr>
        <w:tabs>
          <w:tab w:val="clear" w:pos="720"/>
        </w:tabs>
        <w:ind w:hanging="360" w:start="1080" w:end="0"/>
        <w:rPr>
          <w:sz w:val="24"/>
        </w:rPr>
      </w:pPr>
      <w:r>
        <w:rPr>
          <w:sz w:val="24"/>
        </w:rPr>
        <w:t xml:space="preserve">Jeff Dasovich and Sue Mara will continue Sacramento contacts and activities (e.g., Governor’s office (Kari Dohn); AB 1890 implementation group; ARM; direct access coalition)  </w:t>
      </w:r>
    </w:p>
    <w:p>
      <w:pPr>
        <w:pStyle w:val="Normal"/>
        <w:numPr>
          <w:ilvl w:val="1"/>
          <w:numId w:val="13"/>
        </w:numPr>
        <w:tabs>
          <w:tab w:val="clear" w:pos="720"/>
        </w:tabs>
        <w:ind w:hanging="360" w:start="1080" w:end="0"/>
        <w:rPr>
          <w:sz w:val="24"/>
        </w:rPr>
      </w:pPr>
      <w:r>
        <w:rPr>
          <w:sz w:val="24"/>
        </w:rPr>
        <w:t xml:space="preserve">After May 1 (when retainer with Mike Day expires), use daily California call to </w:t>
      </w:r>
    </w:p>
    <w:p>
      <w:pPr>
        <w:pStyle w:val="BodyTextIndent"/>
        <w:numPr>
          <w:ilvl w:val="0"/>
          <w:numId w:val="17"/>
        </w:numPr>
        <w:tabs>
          <w:tab w:val="clear" w:pos="720"/>
        </w:tabs>
        <w:ind w:hanging="360" w:start="1080" w:end="0"/>
        <w:rPr/>
      </w:pPr>
      <w:r>
        <w:rPr/>
        <w:t>identify the need for an Enron representative to testify on specific legislation and/or represent the company at informational hearings;</w:t>
      </w:r>
    </w:p>
    <w:p>
      <w:pPr>
        <w:pStyle w:val="BodyTextIndent"/>
        <w:numPr>
          <w:ilvl w:val="0"/>
          <w:numId w:val="17"/>
        </w:numPr>
        <w:tabs>
          <w:tab w:val="clear" w:pos="720"/>
        </w:tabs>
        <w:ind w:hanging="360" w:start="1080" w:end="0"/>
        <w:rPr/>
      </w:pPr>
      <w:r>
        <w:rPr/>
        <w:t xml:space="preserve">identify the individual who will participate at the legislative/informational hearing.  </w:t>
      </w:r>
    </w:p>
    <w:p>
      <w:pPr>
        <w:pStyle w:val="Normal"/>
        <w:numPr>
          <w:ilvl w:val="2"/>
          <w:numId w:val="13"/>
        </w:numPr>
        <w:tabs>
          <w:tab w:val="clear" w:pos="720"/>
        </w:tabs>
        <w:ind w:hanging="360" w:start="360" w:end="0"/>
        <w:rPr>
          <w:sz w:val="24"/>
        </w:rPr>
      </w:pPr>
      <w:r>
        <w:rPr>
          <w:sz w:val="24"/>
        </w:rPr>
        <w:t xml:space="preserve">Communicate positions through letters of opposition/support, unless Enron is pursuing specific amendments and must support the amendments through testimony. </w:t>
      </w:r>
    </w:p>
    <w:p>
      <w:pPr>
        <w:pStyle w:val="Normal"/>
        <w:numPr>
          <w:ilvl w:val="2"/>
          <w:numId w:val="13"/>
        </w:numPr>
        <w:tabs>
          <w:tab w:val="clear" w:pos="720"/>
        </w:tabs>
        <w:ind w:hanging="360" w:start="360" w:end="0"/>
        <w:rPr>
          <w:sz w:val="24"/>
        </w:rPr>
      </w:pPr>
      <w:r>
        <w:rPr>
          <w:sz w:val="24"/>
        </w:rPr>
        <w:t>Maintain Leslie Lawner as principal coordinator of legislative analysis and position development.</w:t>
      </w:r>
    </w:p>
    <w:p>
      <w:pPr>
        <w:pStyle w:val="Normal"/>
        <w:numPr>
          <w:ilvl w:val="2"/>
          <w:numId w:val="13"/>
        </w:numPr>
        <w:tabs>
          <w:tab w:val="clear" w:pos="720"/>
        </w:tabs>
        <w:ind w:hanging="360" w:start="360" w:end="0"/>
        <w:rPr>
          <w:sz w:val="24"/>
        </w:rPr>
      </w:pPr>
      <w:r>
        <w:rPr>
          <w:sz w:val="24"/>
        </w:rPr>
        <w:t>Reduce Ken Smith’s activities to: (1) “owning” our relationship with the Bee; (2) stealth presence for the Sacramento press corps; and, 3) special assignments when required by Janel and/or Karen.  Ken should report directly to Janel and Karen.</w:t>
      </w:r>
    </w:p>
    <w:p>
      <w:pPr>
        <w:pStyle w:val="Normal"/>
        <w:rPr>
          <w:sz w:val="24"/>
        </w:rPr>
      </w:pPr>
      <w:r>
        <w:rPr>
          <w:sz w:val="24"/>
        </w:rPr>
      </w:r>
    </w:p>
    <w:p>
      <w:pPr>
        <w:pStyle w:val="Heading2"/>
        <w:ind w:hanging="0" w:start="0"/>
        <w:rPr>
          <w:smallCaps/>
        </w:rPr>
      </w:pPr>
      <w:r>
        <w:rPr>
          <w:smallCaps/>
          <w:rPrChange w:id="0" w:author="Unknown" w:date="0-00-00T00:00:00Z"/>
        </w:rPr>
        <w:t>CPUC—Jeff Dasovich and Sue Mara</w:t>
      </w:r>
    </w:p>
    <w:p>
      <w:pPr>
        <w:pStyle w:val="Normal"/>
        <w:numPr>
          <w:ilvl w:val="0"/>
          <w:numId w:val="6"/>
        </w:numPr>
        <w:rPr>
          <w:sz w:val="24"/>
        </w:rPr>
      </w:pPr>
      <w:r>
        <w:rPr>
          <w:sz w:val="24"/>
        </w:rPr>
        <w:t xml:space="preserve">Jeff Dasovich will be responsible for deciding where and when participation is appropriate.  </w:t>
      </w:r>
    </w:p>
    <w:p>
      <w:pPr>
        <w:pStyle w:val="Normal"/>
        <w:numPr>
          <w:ilvl w:val="2"/>
          <w:numId w:val="11"/>
        </w:numPr>
        <w:tabs>
          <w:tab w:val="clear" w:pos="720"/>
        </w:tabs>
        <w:rPr>
          <w:sz w:val="24"/>
        </w:rPr>
      </w:pPr>
      <w:r>
        <w:rPr>
          <w:sz w:val="24"/>
        </w:rPr>
        <w:t>Rate design and cost allocation in light CPUC-proposed rate increase.</w:t>
      </w:r>
    </w:p>
    <w:p>
      <w:pPr>
        <w:pStyle w:val="Normal"/>
        <w:numPr>
          <w:ilvl w:val="2"/>
          <w:numId w:val="11"/>
        </w:numPr>
        <w:tabs>
          <w:tab w:val="clear" w:pos="720"/>
        </w:tabs>
        <w:rPr>
          <w:sz w:val="24"/>
        </w:rPr>
      </w:pPr>
      <w:r>
        <w:rPr>
          <w:sz w:val="24"/>
        </w:rPr>
        <w:t>Direct access (Implementation of AB 1X)</w:t>
      </w:r>
    </w:p>
    <w:p>
      <w:pPr>
        <w:pStyle w:val="Normal"/>
        <w:numPr>
          <w:ilvl w:val="2"/>
          <w:numId w:val="11"/>
        </w:numPr>
        <w:tabs>
          <w:tab w:val="clear" w:pos="720"/>
        </w:tabs>
        <w:rPr>
          <w:sz w:val="24"/>
        </w:rPr>
      </w:pPr>
      <w:r>
        <w:rPr>
          <w:sz w:val="24"/>
        </w:rPr>
        <w:t>Rate component to make CDWR a credit-worthy entity</w:t>
      </w:r>
    </w:p>
    <w:p>
      <w:pPr>
        <w:pStyle w:val="Normal"/>
        <w:numPr>
          <w:ilvl w:val="2"/>
          <w:numId w:val="11"/>
        </w:numPr>
        <w:tabs>
          <w:tab w:val="clear" w:pos="720"/>
        </w:tabs>
        <w:rPr>
          <w:sz w:val="24"/>
        </w:rPr>
      </w:pPr>
      <w:r>
        <w:rPr>
          <w:sz w:val="24"/>
        </w:rPr>
        <w:t>Investigations into gas-related issues (e.g., curtailment priorities, in-state infrastructure development)</w:t>
      </w:r>
    </w:p>
    <w:p>
      <w:pPr>
        <w:pStyle w:val="Normal"/>
        <w:numPr>
          <w:ilvl w:val="2"/>
          <w:numId w:val="11"/>
        </w:numPr>
        <w:tabs>
          <w:tab w:val="clear" w:pos="720"/>
        </w:tabs>
        <w:rPr>
          <w:sz w:val="24"/>
        </w:rPr>
      </w:pPr>
      <w:r>
        <w:rPr>
          <w:sz w:val="24"/>
        </w:rPr>
        <w:t>DG</w:t>
      </w:r>
    </w:p>
    <w:p>
      <w:pPr>
        <w:pStyle w:val="Normal"/>
        <w:numPr>
          <w:ilvl w:val="2"/>
          <w:numId w:val="11"/>
        </w:numPr>
        <w:tabs>
          <w:tab w:val="clear" w:pos="720"/>
        </w:tabs>
        <w:rPr>
          <w:sz w:val="24"/>
        </w:rPr>
      </w:pPr>
      <w:r>
        <w:rPr>
          <w:sz w:val="24"/>
        </w:rPr>
        <w:t>Demand-side management/curtailment programs</w:t>
      </w:r>
    </w:p>
    <w:p>
      <w:pPr>
        <w:pStyle w:val="Normal"/>
        <w:numPr>
          <w:ilvl w:val="2"/>
          <w:numId w:val="11"/>
        </w:numPr>
        <w:tabs>
          <w:tab w:val="clear" w:pos="720"/>
        </w:tabs>
        <w:rPr>
          <w:sz w:val="24"/>
        </w:rPr>
      </w:pPr>
      <w:r>
        <w:rPr>
          <w:sz w:val="24"/>
        </w:rPr>
        <w:t>Enron complaint against SCE &amp; PG&amp;E for payment of negative CTC</w:t>
      </w:r>
    </w:p>
    <w:p>
      <w:pPr>
        <w:pStyle w:val="Normal"/>
        <w:ind w:start="720" w:end="0"/>
        <w:rPr>
          <w:sz w:val="24"/>
        </w:rPr>
      </w:pPr>
      <w:r>
        <w:rPr>
          <w:sz w:val="24"/>
        </w:rPr>
      </w:r>
    </w:p>
    <w:p>
      <w:pPr>
        <w:pStyle w:val="Heading2"/>
        <w:ind w:hanging="0" w:start="0"/>
        <w:rPr>
          <w:iCs w:val="false"/>
          <w:smallCaps/>
        </w:rPr>
      </w:pPr>
      <w:r>
        <w:rPr>
          <w:iCs w:val="false"/>
          <w:smallCaps/>
          <w:rPrChange w:id="0" w:author="Unknown" w:date="0-00-00T00:00:00Z"/>
        </w:rPr>
        <w:t>ISO—Susan Mara and Alan Comnes</w:t>
      </w:r>
    </w:p>
    <w:p>
      <w:pPr>
        <w:pStyle w:val="Normal"/>
        <w:numPr>
          <w:ilvl w:val="0"/>
          <w:numId w:val="14"/>
        </w:numPr>
        <w:rPr>
          <w:sz w:val="24"/>
        </w:rPr>
      </w:pPr>
      <w:r>
        <w:rPr>
          <w:sz w:val="24"/>
        </w:rPr>
        <w:t xml:space="preserve">Mara will be responsible for deciding where participation is appropriate.  Alan Comnes will provide support.  </w:t>
      </w:r>
    </w:p>
    <w:p>
      <w:pPr>
        <w:pStyle w:val="Normal"/>
        <w:numPr>
          <w:ilvl w:val="0"/>
          <w:numId w:val="14"/>
        </w:numPr>
        <w:rPr>
          <w:sz w:val="24"/>
        </w:rPr>
      </w:pPr>
      <w:r>
        <w:rPr>
          <w:sz w:val="24"/>
        </w:rPr>
        <w:t>Primary focus:</w:t>
      </w:r>
    </w:p>
    <w:p>
      <w:pPr>
        <w:pStyle w:val="Normal"/>
        <w:numPr>
          <w:ilvl w:val="0"/>
          <w:numId w:val="12"/>
        </w:numPr>
        <w:tabs>
          <w:tab w:val="clear" w:pos="720"/>
        </w:tabs>
        <w:ind w:hanging="288" w:start="990" w:end="0"/>
        <w:rPr>
          <w:sz w:val="24"/>
        </w:rPr>
      </w:pPr>
      <w:r>
        <w:rPr>
          <w:sz w:val="24"/>
        </w:rPr>
        <w:t>Failure of Governance—capture by state political process.</w:t>
      </w:r>
    </w:p>
    <w:p>
      <w:pPr>
        <w:pStyle w:val="Normal"/>
        <w:numPr>
          <w:ilvl w:val="0"/>
          <w:numId w:val="12"/>
        </w:numPr>
        <w:tabs>
          <w:tab w:val="clear" w:pos="720"/>
        </w:tabs>
        <w:ind w:hanging="288" w:start="990" w:end="0"/>
        <w:rPr>
          <w:sz w:val="24"/>
        </w:rPr>
      </w:pPr>
      <w:r>
        <w:rPr>
          <w:sz w:val="24"/>
        </w:rPr>
        <w:t>ISO “market stabilization” plan.</w:t>
      </w:r>
    </w:p>
    <w:p>
      <w:pPr>
        <w:pStyle w:val="Normal"/>
        <w:numPr>
          <w:ilvl w:val="0"/>
          <w:numId w:val="12"/>
        </w:numPr>
        <w:tabs>
          <w:tab w:val="clear" w:pos="720"/>
        </w:tabs>
        <w:ind w:hanging="288" w:start="990" w:end="0"/>
        <w:rPr>
          <w:sz w:val="24"/>
        </w:rPr>
      </w:pPr>
      <w:r>
        <w:rPr>
          <w:sz w:val="24"/>
        </w:rPr>
        <w:t>ISO allegations of market abuse</w:t>
      </w:r>
    </w:p>
    <w:p>
      <w:pPr>
        <w:pStyle w:val="Normal"/>
        <w:numPr>
          <w:ilvl w:val="0"/>
          <w:numId w:val="12"/>
        </w:numPr>
        <w:tabs>
          <w:tab w:val="clear" w:pos="720"/>
        </w:tabs>
        <w:ind w:hanging="288" w:start="990" w:end="0"/>
        <w:rPr>
          <w:sz w:val="24"/>
        </w:rPr>
      </w:pPr>
      <w:r>
        <w:rPr>
          <w:sz w:val="24"/>
        </w:rPr>
        <w:t>Balkanization effort.</w:t>
      </w:r>
    </w:p>
    <w:p>
      <w:pPr>
        <w:pStyle w:val="Normal"/>
        <w:numPr>
          <w:ilvl w:val="0"/>
          <w:numId w:val="12"/>
        </w:numPr>
        <w:tabs>
          <w:tab w:val="clear" w:pos="720"/>
        </w:tabs>
        <w:ind w:hanging="288" w:start="990" w:end="0"/>
        <w:rPr>
          <w:sz w:val="24"/>
        </w:rPr>
      </w:pPr>
      <w:r>
        <w:rPr>
          <w:sz w:val="24"/>
        </w:rPr>
        <w:t>Market Surveillance</w:t>
      </w:r>
    </w:p>
    <w:p>
      <w:pPr>
        <w:pStyle w:val="Normal"/>
        <w:ind w:start="90" w:end="0"/>
        <w:rPr>
          <w:sz w:val="24"/>
        </w:rPr>
      </w:pPr>
      <w:r>
        <w:rPr>
          <w:sz w:val="24"/>
        </w:rPr>
      </w:r>
    </w:p>
    <w:p>
      <w:pPr>
        <w:pStyle w:val="BodyText"/>
        <w:rPr>
          <w:smallCaps/>
        </w:rPr>
      </w:pPr>
      <w:r>
        <w:rPr>
          <w:smallCaps/>
        </w:rPr>
        <w:t>Litigation &amp; Investigation Regarding Allegations of Market Abuse and Request for Refunds—Jim Steffes, Alan Comnes and Jeff Dasovich</w:t>
      </w:r>
    </w:p>
    <w:p>
      <w:pPr>
        <w:pStyle w:val="Normal"/>
        <w:numPr>
          <w:ilvl w:val="1"/>
          <w:numId w:val="13"/>
        </w:numPr>
        <w:tabs>
          <w:tab w:val="clear" w:pos="720"/>
        </w:tabs>
        <w:ind w:hanging="360" w:start="1080" w:end="0"/>
        <w:rPr>
          <w:sz w:val="24"/>
        </w:rPr>
      </w:pPr>
      <w:r>
        <w:rPr>
          <w:sz w:val="24"/>
        </w:rPr>
        <w:t>Jim Steffes continues to lead the effort, supported by Alan and Jeff</w:t>
      </w:r>
    </w:p>
    <w:p>
      <w:pPr>
        <w:pStyle w:val="Normal"/>
        <w:ind w:start="720" w:end="0"/>
        <w:rPr>
          <w:sz w:val="24"/>
        </w:rPr>
      </w:pPr>
      <w:r>
        <w:rPr>
          <w:sz w:val="24"/>
        </w:rPr>
      </w:r>
    </w:p>
    <w:p>
      <w:pPr>
        <w:pStyle w:val="Heading1"/>
        <w:ind w:hanging="0" w:start="0"/>
        <w:rPr>
          <w:bCs/>
          <w:i/>
          <w:i/>
          <w:iCs/>
          <w:smallCaps/>
        </w:rPr>
      </w:pPr>
      <w:r>
        <w:rPr>
          <w:bCs/>
          <w:i/>
          <w:iCs/>
          <w:smallCaps/>
        </w:rPr>
        <w:t xml:space="preserve">Team Communication </w:t>
      </w:r>
    </w:p>
    <w:p>
      <w:pPr>
        <w:pStyle w:val="Normal"/>
        <w:numPr>
          <w:ilvl w:val="0"/>
          <w:numId w:val="15"/>
        </w:numPr>
        <w:rPr>
          <w:sz w:val="24"/>
        </w:rPr>
      </w:pPr>
      <w:r>
        <w:rPr>
          <w:sz w:val="24"/>
        </w:rPr>
        <w:t>Daily calls will continue at least until the end of the emergency session.</w:t>
      </w:r>
    </w:p>
    <w:p>
      <w:pPr>
        <w:pStyle w:val="Normal"/>
        <w:numPr>
          <w:ilvl w:val="0"/>
          <w:numId w:val="15"/>
        </w:numPr>
        <w:rPr>
          <w:sz w:val="24"/>
        </w:rPr>
      </w:pPr>
      <w:r>
        <w:rPr>
          <w:sz w:val="24"/>
        </w:rPr>
        <w:t>Daily calls should enhance, not supplant, other communication</w:t>
      </w:r>
    </w:p>
    <w:p>
      <w:pPr>
        <w:pStyle w:val="Normal"/>
        <w:numPr>
          <w:ilvl w:val="0"/>
          <w:numId w:val="15"/>
        </w:numPr>
        <w:rPr>
          <w:sz w:val="24"/>
        </w:rPr>
      </w:pPr>
      <w:r>
        <w:rPr>
          <w:sz w:val="24"/>
        </w:rPr>
        <w:t>The call should be attend principally by the California team.  Others can participate but California team members should be primary participants.</w:t>
      </w:r>
    </w:p>
    <w:p>
      <w:pPr>
        <w:pStyle w:val="Normal"/>
        <w:numPr>
          <w:ilvl w:val="0"/>
          <w:numId w:val="15"/>
        </w:numPr>
        <w:rPr>
          <w:sz w:val="24"/>
        </w:rPr>
      </w:pPr>
      <w:r>
        <w:rPr>
          <w:sz w:val="24"/>
        </w:rPr>
        <w:t>Paul Kaufman will chair the call and Jeff Dasovich will chair in Paul’s absence.</w:t>
      </w:r>
    </w:p>
    <w:p>
      <w:pPr>
        <w:pStyle w:val="Normal"/>
        <w:numPr>
          <w:ilvl w:val="2"/>
          <w:numId w:val="13"/>
        </w:numPr>
        <w:tabs>
          <w:tab w:val="clear" w:pos="720"/>
        </w:tabs>
        <w:ind w:hanging="360" w:start="360" w:end="0"/>
        <w:rPr>
          <w:sz w:val="24"/>
        </w:rPr>
      </w:pPr>
      <w:r>
        <w:rPr>
          <w:sz w:val="24"/>
        </w:rPr>
        <w:t xml:space="preserve">Agenda:  </w:t>
      </w:r>
    </w:p>
    <w:p>
      <w:pPr>
        <w:pStyle w:val="Normal"/>
        <w:numPr>
          <w:ilvl w:val="0"/>
          <w:numId w:val="10"/>
        </w:numPr>
        <w:tabs>
          <w:tab w:val="clear" w:pos="720"/>
        </w:tabs>
        <w:ind w:hanging="360" w:start="1080" w:end="0"/>
        <w:rPr>
          <w:sz w:val="24"/>
        </w:rPr>
      </w:pPr>
      <w:r>
        <w:rPr>
          <w:sz w:val="24"/>
        </w:rPr>
        <w:t>Sacramento update.</w:t>
      </w:r>
    </w:p>
    <w:p>
      <w:pPr>
        <w:pStyle w:val="Normal"/>
        <w:numPr>
          <w:ilvl w:val="0"/>
          <w:numId w:val="10"/>
        </w:numPr>
        <w:tabs>
          <w:tab w:val="clear" w:pos="720"/>
        </w:tabs>
        <w:ind w:hanging="360" w:start="1080" w:end="0"/>
        <w:rPr>
          <w:sz w:val="24"/>
        </w:rPr>
      </w:pPr>
      <w:r>
        <w:rPr>
          <w:sz w:val="24"/>
        </w:rPr>
        <w:t>ISO update</w:t>
      </w:r>
    </w:p>
    <w:p>
      <w:pPr>
        <w:pStyle w:val="Normal"/>
        <w:numPr>
          <w:ilvl w:val="0"/>
          <w:numId w:val="10"/>
        </w:numPr>
        <w:tabs>
          <w:tab w:val="clear" w:pos="720"/>
        </w:tabs>
        <w:ind w:hanging="360" w:start="1080" w:end="0"/>
        <w:rPr>
          <w:sz w:val="24"/>
        </w:rPr>
      </w:pPr>
      <w:r>
        <w:rPr>
          <w:sz w:val="24"/>
        </w:rPr>
        <w:t>CPUC update.</w:t>
      </w:r>
    </w:p>
    <w:p>
      <w:pPr>
        <w:pStyle w:val="Normal"/>
        <w:numPr>
          <w:ilvl w:val="0"/>
          <w:numId w:val="10"/>
        </w:numPr>
        <w:tabs>
          <w:tab w:val="clear" w:pos="720"/>
        </w:tabs>
        <w:ind w:hanging="360" w:start="1080" w:end="0"/>
        <w:rPr>
          <w:sz w:val="24"/>
        </w:rPr>
      </w:pPr>
      <w:r>
        <w:rPr>
          <w:sz w:val="24"/>
        </w:rPr>
        <w:t>Investigations update.</w:t>
      </w:r>
    </w:p>
    <w:p>
      <w:pPr>
        <w:pStyle w:val="Normal"/>
        <w:numPr>
          <w:ilvl w:val="0"/>
          <w:numId w:val="10"/>
        </w:numPr>
        <w:tabs>
          <w:tab w:val="clear" w:pos="720"/>
        </w:tabs>
        <w:ind w:hanging="360" w:start="1080" w:end="0"/>
        <w:rPr>
          <w:sz w:val="24"/>
        </w:rPr>
      </w:pPr>
      <w:r>
        <w:rPr>
          <w:sz w:val="24"/>
        </w:rPr>
        <w:t>Identify action items</w:t>
      </w:r>
    </w:p>
    <w:p>
      <w:pPr>
        <w:pStyle w:val="Normal"/>
        <w:numPr>
          <w:ilvl w:val="0"/>
          <w:numId w:val="10"/>
        </w:numPr>
        <w:tabs>
          <w:tab w:val="clear" w:pos="720"/>
        </w:tabs>
        <w:ind w:hanging="360" w:start="1080" w:end="0"/>
        <w:rPr>
          <w:sz w:val="24"/>
        </w:rPr>
      </w:pPr>
      <w:r>
        <w:rPr>
          <w:sz w:val="24"/>
        </w:rPr>
        <w:t>Determine resource needs</w:t>
      </w:r>
    </w:p>
    <w:p>
      <w:pPr>
        <w:pStyle w:val="Normal"/>
        <w:numPr>
          <w:ilvl w:val="0"/>
          <w:numId w:val="10"/>
        </w:numPr>
        <w:tabs>
          <w:tab w:val="clear" w:pos="720"/>
        </w:tabs>
        <w:ind w:hanging="360" w:start="1080" w:end="0"/>
        <w:rPr>
          <w:sz w:val="24"/>
        </w:rPr>
      </w:pPr>
      <w:r>
        <w:rPr>
          <w:sz w:val="24"/>
        </w:rPr>
        <w:t>Make assignments</w:t>
      </w:r>
      <w:r>
        <w:br w:type="page"/>
      </w:r>
    </w:p>
    <w:p>
      <w:pPr>
        <w:pStyle w:val="Normal"/>
        <w:rPr>
          <w:sz w:val="24"/>
        </w:rPr>
      </w:pPr>
      <w:r>
        <w:rPr>
          <w:sz w:val="24"/>
        </w:rPr>
      </w:r>
    </w:p>
    <w:p>
      <w:pPr>
        <w:pStyle w:val="Heading3"/>
        <w:ind w:hanging="0" w:start="0"/>
        <w:jc w:val="center"/>
        <w:rPr>
          <w:b/>
          <w:i/>
          <w:i/>
          <w:iCs/>
          <w:smallCaps/>
        </w:rPr>
      </w:pPr>
      <w:r>
        <w:rPr>
          <w:b/>
          <w:i/>
          <w:iCs/>
          <w:smallCaps/>
        </w:rPr>
        <w:t>budget--Month of April</w:t>
      </w:r>
    </w:p>
    <w:p>
      <w:pPr>
        <w:pStyle w:val="Normal"/>
        <w:rPr>
          <w:b/>
          <w:i/>
          <w:i/>
          <w:iCs/>
          <w:smallCaps/>
          <w:sz w:val="24"/>
        </w:rPr>
      </w:pPr>
      <w:r>
        <w:rPr>
          <w:b/>
          <w:i/>
          <w:iCs/>
          <w:smallCaps/>
          <w:sz w:val="24"/>
        </w:rPr>
      </w:r>
    </w:p>
    <w:tbl>
      <w:tblPr>
        <w:tblW w:w="8856" w:type="dxa"/>
        <w:jc w:val="start"/>
        <w:tblInd w:w="0" w:type="dxa"/>
        <w:tblLayout w:type="fixed"/>
        <w:tblCellMar>
          <w:top w:w="0" w:type="dxa"/>
          <w:start w:w="108" w:type="dxa"/>
          <w:bottom w:w="0" w:type="dxa"/>
          <w:end w:w="108" w:type="dxa"/>
        </w:tblCellMar>
      </w:tblPr>
      <w:tblGrid>
        <w:gridCol w:w="2178"/>
        <w:gridCol w:w="2070"/>
        <w:gridCol w:w="1710"/>
        <w:gridCol w:w="2898"/>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b/>
                <w:bCs/>
                <w:i/>
                <w:i/>
                <w:iCs/>
                <w:sz w:val="24"/>
              </w:rPr>
            </w:pPr>
            <w:r>
              <w:rPr>
                <w:b/>
                <w:bCs/>
                <w:i/>
                <w:iCs/>
                <w:sz w:val="24"/>
              </w:rPr>
              <w:t>Vendor</w:t>
            </w:r>
          </w:p>
        </w:tc>
        <w:tc>
          <w:tcPr>
            <w:tcW w:w="2070" w:type="dxa"/>
            <w:tcBorders>
              <w:top w:val="single" w:sz="4" w:space="0" w:color="000000"/>
              <w:start w:val="single" w:sz="4" w:space="0" w:color="000000"/>
              <w:bottom w:val="single" w:sz="4" w:space="0" w:color="000000"/>
              <w:end w:val="single" w:sz="4" w:space="0" w:color="000000"/>
            </w:tcBorders>
          </w:tcPr>
          <w:p>
            <w:pPr>
              <w:pStyle w:val="Normal"/>
              <w:rPr>
                <w:b/>
                <w:bCs/>
                <w:i/>
                <w:i/>
                <w:iCs/>
                <w:sz w:val="24"/>
              </w:rPr>
            </w:pPr>
            <w:r>
              <w:rPr>
                <w:b/>
                <w:bCs/>
                <w:i/>
                <w:iCs/>
                <w:sz w:val="24"/>
              </w:rPr>
              <w:t>Purpose</w:t>
            </w:r>
          </w:p>
        </w:tc>
        <w:tc>
          <w:tcPr>
            <w:tcW w:w="1710" w:type="dxa"/>
            <w:tcBorders>
              <w:top w:val="single" w:sz="4" w:space="0" w:color="000000"/>
              <w:start w:val="single" w:sz="4" w:space="0" w:color="000000"/>
              <w:bottom w:val="single" w:sz="4" w:space="0" w:color="000000"/>
              <w:end w:val="single" w:sz="4" w:space="0" w:color="000000"/>
            </w:tcBorders>
          </w:tcPr>
          <w:p>
            <w:pPr>
              <w:pStyle w:val="Normal"/>
              <w:rPr>
                <w:b/>
                <w:bCs/>
                <w:i/>
                <w:i/>
                <w:iCs/>
                <w:sz w:val="24"/>
              </w:rPr>
            </w:pPr>
            <w:r>
              <w:rPr>
                <w:b/>
                <w:bCs/>
                <w:i/>
                <w:iCs/>
                <w:sz w:val="24"/>
              </w:rPr>
              <w:t>Amount</w:t>
            </w:r>
          </w:p>
        </w:tc>
        <w:tc>
          <w:tcPr>
            <w:tcW w:w="2898" w:type="dxa"/>
            <w:tcBorders>
              <w:top w:val="single" w:sz="4" w:space="0" w:color="000000"/>
              <w:start w:val="single" w:sz="4" w:space="0" w:color="000000"/>
              <w:bottom w:val="single" w:sz="4" w:space="0" w:color="000000"/>
              <w:end w:val="single" w:sz="4" w:space="0" w:color="000000"/>
            </w:tcBorders>
          </w:tcPr>
          <w:p>
            <w:pPr>
              <w:pStyle w:val="Normal"/>
              <w:rPr>
                <w:b/>
                <w:bCs/>
                <w:i/>
                <w:i/>
                <w:iCs/>
                <w:sz w:val="24"/>
              </w:rPr>
            </w:pPr>
            <w:r>
              <w:rPr>
                <w:b/>
                <w:bCs/>
                <w:i/>
                <w:iCs/>
                <w:sz w:val="24"/>
              </w:rPr>
              <w:t>Comments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Lang, Hanson</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Annual retainer.  Terminates 12/1/01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Governmental Advocates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$15,800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Annual retainer, with $6,000 “surcharge” for special session.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Legislative support/lobbying—Monthly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Special retainer that terminates at end of April.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General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Retainer for general counsel work.</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Arter &amp; Hadden</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General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Retainer for tariff advice work.</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Special retainer for rate case plan and rate design phase.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This amount is average cost for Goodin McBride representation in this proceeding.  Key issue was initially end-of-rate-freeze date.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MRW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Special retainer for rate case plan</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 be proposed.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TOTAL</w:t>
            </w:r>
            <w:r>
              <w:rPr>
                <w:rStyle w:val="FootnoteCharacters"/>
                <w:rStyle w:val="FootnoteReference"/>
              </w:rPr>
              <w:footnoteReference w:id="2"/>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$106,800</w:t>
            </w:r>
          </w:p>
        </w:tc>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r>
    </w:tbl>
    <w:p>
      <w:pPr>
        <w:pStyle w:val="Normal"/>
        <w:rPr>
          <w:sz w:val="24"/>
        </w:rPr>
      </w:pPr>
      <w:r>
        <w:rPr>
          <w:sz w:val="24"/>
        </w:rPr>
      </w:r>
      <w:r>
        <w:br w:type="page"/>
      </w:r>
    </w:p>
    <w:p>
      <w:pPr>
        <w:pStyle w:val="Normal"/>
        <w:rPr>
          <w:sz w:val="24"/>
        </w:rPr>
      </w:pPr>
      <w:r>
        <w:rPr>
          <w:sz w:val="24"/>
        </w:rPr>
      </w:r>
    </w:p>
    <w:p>
      <w:pPr>
        <w:pStyle w:val="Heading4"/>
        <w:ind w:hanging="0" w:start="0"/>
        <w:rPr/>
      </w:pPr>
      <w:r>
        <w:rPr/>
        <w:t>Budget--May 1 to December 31</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178"/>
        <w:gridCol w:w="2070"/>
        <w:gridCol w:w="1710"/>
        <w:gridCol w:w="2898"/>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b/>
                <w:bCs/>
                <w:i/>
                <w:i/>
                <w:iCs/>
                <w:sz w:val="24"/>
              </w:rPr>
            </w:pPr>
            <w:r>
              <w:rPr>
                <w:b/>
                <w:bCs/>
                <w:i/>
                <w:iCs/>
                <w:sz w:val="24"/>
              </w:rPr>
              <w:t>Vendor</w:t>
            </w:r>
          </w:p>
        </w:tc>
        <w:tc>
          <w:tcPr>
            <w:tcW w:w="2070" w:type="dxa"/>
            <w:tcBorders>
              <w:top w:val="single" w:sz="4" w:space="0" w:color="000000"/>
              <w:start w:val="single" w:sz="4" w:space="0" w:color="000000"/>
              <w:bottom w:val="single" w:sz="4" w:space="0" w:color="000000"/>
              <w:end w:val="single" w:sz="4" w:space="0" w:color="000000"/>
            </w:tcBorders>
          </w:tcPr>
          <w:p>
            <w:pPr>
              <w:pStyle w:val="Normal"/>
              <w:rPr>
                <w:b/>
                <w:bCs/>
                <w:i/>
                <w:i/>
                <w:iCs/>
                <w:sz w:val="24"/>
              </w:rPr>
            </w:pPr>
            <w:r>
              <w:rPr>
                <w:b/>
                <w:bCs/>
                <w:i/>
                <w:iCs/>
                <w:sz w:val="24"/>
              </w:rPr>
              <w:t>Purpose</w:t>
            </w:r>
          </w:p>
        </w:tc>
        <w:tc>
          <w:tcPr>
            <w:tcW w:w="1710" w:type="dxa"/>
            <w:tcBorders>
              <w:top w:val="single" w:sz="4" w:space="0" w:color="000000"/>
              <w:start w:val="single" w:sz="4" w:space="0" w:color="000000"/>
              <w:bottom w:val="single" w:sz="4" w:space="0" w:color="000000"/>
              <w:end w:val="single" w:sz="4" w:space="0" w:color="000000"/>
            </w:tcBorders>
          </w:tcPr>
          <w:p>
            <w:pPr>
              <w:pStyle w:val="Normal"/>
              <w:rPr>
                <w:b/>
                <w:bCs/>
                <w:i/>
                <w:i/>
                <w:iCs/>
                <w:sz w:val="24"/>
              </w:rPr>
            </w:pPr>
            <w:r>
              <w:rPr>
                <w:b/>
                <w:bCs/>
                <w:i/>
                <w:iCs/>
                <w:sz w:val="24"/>
              </w:rPr>
              <w:t>Amount</w:t>
            </w:r>
          </w:p>
        </w:tc>
        <w:tc>
          <w:tcPr>
            <w:tcW w:w="2898" w:type="dxa"/>
            <w:tcBorders>
              <w:top w:val="single" w:sz="4" w:space="0" w:color="000000"/>
              <w:start w:val="single" w:sz="4" w:space="0" w:color="000000"/>
              <w:bottom w:val="single" w:sz="4" w:space="0" w:color="000000"/>
              <w:end w:val="single" w:sz="4" w:space="0" w:color="000000"/>
            </w:tcBorders>
          </w:tcPr>
          <w:p>
            <w:pPr>
              <w:pStyle w:val="Normal"/>
              <w:rPr>
                <w:b/>
                <w:bCs/>
                <w:i/>
                <w:i/>
                <w:iCs/>
                <w:sz w:val="24"/>
              </w:rPr>
            </w:pPr>
            <w:r>
              <w:rPr>
                <w:b/>
                <w:bCs/>
                <w:i/>
                <w:iCs/>
                <w:sz w:val="24"/>
              </w:rPr>
              <w:t>Comments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Lang, Hanson</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$56,000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Annual retainer.  Terminates 12/1/01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Governmental Advocates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$80,600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Annual retainer, with $6,000 “surcharge” for special session, which is assumed to end in June.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Legislative support/lobbying—Monthly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After termination of monthly retainer, we propose a cap for June of $10,000.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General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retainer for general counsel work.</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Arter &amp; Hadden</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Tariff Advice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retainer for tariff advice work.  Suggest termination of retainer on June 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Special retainer for rate case plan and rate design phase.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This amount reflects average $30,000/month for Goodin McBride representation in this proceeding.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MRW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Special retainer for rate case plan</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$40,000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 be proposed.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TOTAL</w:t>
            </w:r>
            <w:r>
              <w:rPr>
                <w:rStyle w:val="FootnoteCharacters"/>
                <w:rStyle w:val="FootnoteReference"/>
              </w:rPr>
              <w:footnoteReference w:id="3"/>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$274,600</w:t>
            </w:r>
          </w:p>
        </w:tc>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r>
    </w:tbl>
    <w:p>
      <w:pPr>
        <w:pStyle w:val="Normal"/>
        <w:rPr>
          <w:sz w:val="24"/>
        </w:rPr>
      </w:pPr>
      <w:r>
        <w:rPr>
          <w:sz w:val="24"/>
        </w:rPr>
      </w:r>
    </w:p>
    <w:p>
      <w:pPr>
        <w:pStyle w:val="Normal"/>
        <w:rPr>
          <w:sz w:val="24"/>
        </w:rPr>
      </w:pPr>
      <w:r>
        <w:rPr>
          <w:sz w:val="24"/>
        </w:rPr>
      </w:r>
    </w:p>
    <w:p>
      <w:pPr>
        <w:pStyle w:val="Normal"/>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This amount does not include amounts expected for Bracewell &amp; Patterson representation at FERC, or KDS Communications retainer costs.  Additional amounts for work undertaken by Goodin McBride contracted through Harry Kingerski’s group have not been incluced.  </w:t>
      </w:r>
    </w:p>
  </w:footnote>
  <w:footnote w:id="3">
    <w:p>
      <w:pPr>
        <w:pStyle w:val="FootnoteText"/>
        <w:rPr/>
      </w:pPr>
      <w:r>
        <w:rPr>
          <w:rStyle w:val="FootnoteCharacters"/>
        </w:rPr>
        <w:footnoteRef/>
      </w:r>
      <w:r>
        <w:rPr/>
        <w:t xml:space="preserve"> </w:t>
      </w:r>
      <w:r>
        <w:rPr/>
        <w:t xml:space="preserve">This amount does not include amounts expected for Bracewell &amp; Patterson representation at FERC, or KDS Communications retainer costs.  Additional amounts for work undertaken by Goodin McBride or MRW contracted through Harry Kingerski’s group have not been incluced.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08" w:hanging="288"/>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08" w:hanging="288"/>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2">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08" w:hanging="288"/>
      </w:pPr>
      <w:rPr>
        <w:rFonts w:ascii="Wingdings" w:hAnsi="Wingdings" w:cs="Wingdings" w:hint="default"/>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7">
    <w:lvl w:ilvl="0">
      <w:start w:val="1"/>
      <w:numFmt w:val="decimal"/>
      <w:lvlText w:val="%1)"/>
      <w:lvlJc w:val="start"/>
      <w:pPr>
        <w:tabs>
          <w:tab w:val="num" w:pos="1710"/>
        </w:tabs>
        <w:ind w:start="1710" w:hanging="9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bCs/>
      <w:i/>
      <w:iCs/>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b/>
      <w:bCs/>
      <w:i/>
      <w:iCs/>
      <w:smallCaps/>
      <w:sz w:val="24"/>
    </w:rPr>
  </w:style>
  <w:style w:type="character" w:styleId="WW8Num1z0">
    <w:name w:val="WW8Num1z0"/>
    <w:qFormat/>
    <w:rPr>
      <w:rFonts w:ascii="Wingdings" w:hAnsi="Wingdings" w:cs="Wingdings"/>
    </w:rPr>
  </w:style>
  <w:style w:type="character" w:styleId="WW8Num1z4">
    <w:name w:val="WW8Num1z4"/>
    <w:qFormat/>
    <w:rPr>
      <w:rFonts w:ascii="Symbol" w:hAnsi="Symbol" w:cs="Symbol"/>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4">
    <w:name w:val="WW8Num5z4"/>
    <w:qFormat/>
    <w:rPr>
      <w:rFonts w:ascii="Symbol" w:hAnsi="Symbol" w:cs="Symbol"/>
    </w:rPr>
  </w:style>
  <w:style w:type="character" w:styleId="WW8Num6z0">
    <w:name w:val="WW8Num6z0"/>
    <w:qFormat/>
    <w:rPr>
      <w:rFonts w:ascii="Wingdings" w:hAnsi="Wingdings" w:cs="Wingdings"/>
    </w:rPr>
  </w:style>
  <w:style w:type="character" w:styleId="WW8Num6z4">
    <w:name w:val="WW8Num6z4"/>
    <w:qFormat/>
    <w:rPr>
      <w:rFonts w:ascii="Symbol" w:hAnsi="Symbol" w:cs="Symbol"/>
    </w:rPr>
  </w:style>
  <w:style w:type="character" w:styleId="WW8Num7z0">
    <w:name w:val="WW8Num7z0"/>
    <w:qFormat/>
    <w:rPr>
      <w:rFonts w:ascii="Wingdings" w:hAnsi="Wingdings" w:cs="Wingdings"/>
    </w:rPr>
  </w:style>
  <w:style w:type="character" w:styleId="WW8Num7z4">
    <w:name w:val="WW8Num7z4"/>
    <w:qFormat/>
    <w:rPr>
      <w:rFonts w:ascii="Symbol" w:hAnsi="Symbol" w:cs="Symbol"/>
    </w:rPr>
  </w:style>
  <w:style w:type="character" w:styleId="WW8Num9z0">
    <w:name w:val="WW8Num9z0"/>
    <w:qFormat/>
    <w:rPr>
      <w:rFonts w:ascii="Wingdings" w:hAnsi="Wingdings" w:cs="Wingdings"/>
    </w:rPr>
  </w:style>
  <w:style w:type="character" w:styleId="WW8Num9z4">
    <w:name w:val="WW8Num9z4"/>
    <w:qFormat/>
    <w:rPr>
      <w:rFonts w:ascii="Symbol" w:hAnsi="Symbol" w:cs="Symbol"/>
    </w:rPr>
  </w:style>
  <w:style w:type="character" w:styleId="WW8Num10z0">
    <w:name w:val="WW8Num10z0"/>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4">
    <w:name w:val="WW8Num12z4"/>
    <w:qFormat/>
    <w:rPr>
      <w:rFonts w:ascii="Symbol" w:hAnsi="Symbol" w:cs="Symbol"/>
    </w:rPr>
  </w:style>
  <w:style w:type="character" w:styleId="WW8Num13z0">
    <w:name w:val="WW8Num13z0"/>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4">
    <w:name w:val="WW8Num14z4"/>
    <w:qFormat/>
    <w:rPr>
      <w:rFonts w:ascii="Symbol" w:hAnsi="Symbol" w:cs="Symbol"/>
    </w:rPr>
  </w:style>
  <w:style w:type="character" w:styleId="WW8Num15z0">
    <w:name w:val="WW8Num15z0"/>
    <w:qFormat/>
    <w:rPr>
      <w:rFonts w:ascii="Wingdings" w:hAnsi="Wingdings" w:cs="Wingdings"/>
    </w:rPr>
  </w:style>
  <w:style w:type="character" w:styleId="WW8Num15z4">
    <w:name w:val="WW8Num15z4"/>
    <w:qFormat/>
    <w:rPr>
      <w:rFonts w:ascii="Symbol" w:hAnsi="Symbol" w:cs="Symbol"/>
    </w:rPr>
  </w:style>
  <w:style w:type="character" w:styleId="WW8Num16z0">
    <w:name w:val="WW8Num16z0"/>
    <w:qFormat/>
    <w:rPr>
      <w:rFonts w:ascii="Wingdings" w:hAnsi="Wingdings" w:cs="Wingdings"/>
    </w:rPr>
  </w:style>
  <w:style w:type="character" w:styleId="WW8Num16z4">
    <w:name w:val="WW8Num16z4"/>
    <w:qFormat/>
    <w:rPr>
      <w:rFonts w:ascii="Symbol" w:hAnsi="Symbol" w:cs="Symbol"/>
    </w:rPr>
  </w:style>
  <w:style w:type="character" w:styleId="WW8Num17z0">
    <w:name w:val="WW8Num17z0"/>
    <w:qFormat/>
    <w:rPr>
      <w:rFonts w:ascii="Wingdings" w:hAnsi="Wingdings" w:cs="Wingdings"/>
    </w:rPr>
  </w:style>
  <w:style w:type="character" w:styleId="WW8Num17z4">
    <w:name w:val="WW8Num17z4"/>
    <w:qFormat/>
    <w:rPr>
      <w:rFonts w:ascii="Symbol" w:hAnsi="Symbol" w:cs="Symbol"/>
    </w:rPr>
  </w:style>
  <w:style w:type="character" w:styleId="WW8Num18z0">
    <w:name w:val="WW8Num18z0"/>
    <w:qFormat/>
    <w:rPr>
      <w:rFonts w:ascii="Wingdings" w:hAnsi="Wingdings" w:cs="Wingdings"/>
    </w:rPr>
  </w:style>
  <w:style w:type="character" w:styleId="WW8Num18z4">
    <w:name w:val="WW8Num18z4"/>
    <w:qFormat/>
    <w:rPr>
      <w:rFonts w:ascii="Symbol" w:hAnsi="Symbol" w:cs="Symbol"/>
    </w:rPr>
  </w:style>
  <w:style w:type="character" w:styleId="WW8Num19z0">
    <w:name w:val="WW8Num19z0"/>
    <w:qFormat/>
    <w:rPr>
      <w:rFonts w:ascii="Wingdings" w:hAnsi="Wingdings" w:cs="Wingdings"/>
    </w:rPr>
  </w:style>
  <w:style w:type="character" w:styleId="WW8Num19z4">
    <w:name w:val="WW8Num19z4"/>
    <w:qFormat/>
    <w:rPr>
      <w:rFonts w:ascii="Symbol" w:hAnsi="Symbol" w:cs="Symbol"/>
    </w:rPr>
  </w:style>
  <w:style w:type="character" w:styleId="WW8Num20z0">
    <w:name w:val="WW8Num20z0"/>
    <w:qFormat/>
    <w:rPr>
      <w:rFonts w:ascii="Wingdings" w:hAnsi="Wingdings" w:cs="Wingdings"/>
    </w:rPr>
  </w:style>
  <w:style w:type="character" w:styleId="WW8Num20z4">
    <w:name w:val="WW8Num20z4"/>
    <w:qFormat/>
    <w:rPr>
      <w:rFonts w:ascii="Symbol" w:hAnsi="Symbol" w:cs="Symbol"/>
    </w:rPr>
  </w:style>
  <w:style w:type="character" w:styleId="WW8Num21z0">
    <w:name w:val="WW8Num21z0"/>
    <w:qFormat/>
    <w:rPr>
      <w:rFonts w:ascii="Wingdings" w:hAnsi="Wingdings" w:cs="Wingdings"/>
    </w:rPr>
  </w:style>
  <w:style w:type="character" w:styleId="WW8Num21z4">
    <w:name w:val="WW8Num21z4"/>
    <w:qFormat/>
    <w:rPr>
      <w:rFonts w:ascii="Symbol" w:hAnsi="Symbol" w:cs="Symbol"/>
    </w:rPr>
  </w:style>
  <w:style w:type="character" w:styleId="WW8Num22z0">
    <w:name w:val="WW8Num2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rPr>
      <w:b/>
      <w:bCs/>
      <w:i/>
      <w:i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firstLine="720" w:start="0" w:end="0"/>
    </w:pPr>
    <w:rPr>
      <w:sz w:val="24"/>
    </w:rPr>
  </w:style>
  <w:style w:type="paragraph" w:styleId="Subtitle">
    <w:name w:val="Subtitle"/>
    <w:basedOn w:val="Normal"/>
    <w:next w:val="BodyText"/>
    <w:qFormat/>
    <w:pPr/>
    <w:rPr>
      <w:b/>
      <w:bCs/>
      <w:i/>
      <w:iC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2001-04-04T22:05:00Z</dcterms:created>
  <dc:creator>pkaufma</dc:creator>
  <dc:description/>
  <dc:language>en-CA</dc:language>
  <cp:lastModifiedBy>jdasovic</cp:lastModifiedBy>
  <cp:lastPrinted>2001-04-04T13:30:00Z</cp:lastPrinted>
  <dcterms:modified xsi:type="dcterms:W3CDTF">2001-04-05T01:07:00Z</dcterms:modified>
  <cp:revision>44</cp:revision>
  <dc:subject/>
  <dc:title> Macro Suggestions:  </dc:title>
</cp:coreProperties>
</file>