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Business Plan</w:t>
      </w:r>
    </w:p>
    <w:p>
      <w:pPr>
        <w:pStyle w:val="Normal"/>
        <w:rPr>
          <w:sz w:val="24"/>
        </w:rPr>
      </w:pPr>
      <w:r>
        <w:rPr>
          <w:sz w:val="24"/>
        </w:rPr>
      </w:r>
    </w:p>
    <w:p>
      <w:pPr>
        <w:pStyle w:val="Normal"/>
        <w:numPr>
          <w:ilvl w:val="0"/>
          <w:numId w:val="2"/>
        </w:numPr>
        <w:rPr>
          <w:sz w:val="24"/>
        </w:rPr>
      </w:pPr>
      <w:r>
        <w:rPr>
          <w:sz w:val="24"/>
        </w:rPr>
        <w:t>Context for plan:  California is not the center of the universe.  Focus in on minimizing risk and supporting Congress/White House-focused effort.</w:t>
      </w:r>
    </w:p>
    <w:p>
      <w:pPr>
        <w:pStyle w:val="Normal"/>
        <w:numPr>
          <w:ilvl w:val="0"/>
          <w:numId w:val="2"/>
        </w:numPr>
        <w:rPr>
          <w:sz w:val="24"/>
        </w:rPr>
      </w:pPr>
      <w:r>
        <w:rPr>
          <w:sz w:val="24"/>
        </w:rPr>
        <w:t>Goals and Objectives for California Team.</w:t>
      </w:r>
    </w:p>
    <w:p>
      <w:pPr>
        <w:pStyle w:val="Normal"/>
        <w:numPr>
          <w:ilvl w:val="1"/>
          <w:numId w:val="2"/>
        </w:numPr>
        <w:rPr>
          <w:sz w:val="24"/>
        </w:rPr>
      </w:pPr>
      <w:r>
        <w:rPr>
          <w:sz w:val="24"/>
        </w:rPr>
        <w:t>Goal #1:  to achieve the 3-4 primary business-driven objectives identified to date:  (a) no retroactive end to the rate freeze; (b) open transmission access; (c) customer choice; (d) siting</w:t>
      </w:r>
    </w:p>
    <w:p>
      <w:pPr>
        <w:pStyle w:val="Normal"/>
        <w:numPr>
          <w:ilvl w:val="1"/>
          <w:numId w:val="2"/>
        </w:numPr>
        <w:rPr>
          <w:sz w:val="24"/>
        </w:rPr>
      </w:pPr>
      <w:r>
        <w:rPr>
          <w:sz w:val="24"/>
        </w:rPr>
        <w:t>Goal #2:  limit the affect of the California virus by being part of an effort to ht to the coastal Democrats, and to hold the line against invasive governmental regulation this summer should there be blackouts</w:t>
      </w:r>
    </w:p>
    <w:p>
      <w:pPr>
        <w:pStyle w:val="Normal"/>
        <w:numPr>
          <w:ilvl w:val="1"/>
          <w:numId w:val="2"/>
        </w:numPr>
        <w:rPr>
          <w:sz w:val="24"/>
        </w:rPr>
      </w:pPr>
      <w:r>
        <w:rPr>
          <w:sz w:val="24"/>
        </w:rPr>
        <w:t>Goal #3:  participate where absolutely necessary (</w:t>
      </w:r>
      <w:r>
        <w:rPr>
          <w:b/>
          <w:sz w:val="24"/>
        </w:rPr>
        <w:t xml:space="preserve">very high standard) </w:t>
      </w:r>
      <w:r>
        <w:rPr>
          <w:sz w:val="24"/>
        </w:rPr>
        <w:t>to limit regulatory excesses;  work where possible (</w:t>
      </w:r>
      <w:r>
        <w:rPr>
          <w:b/>
          <w:sz w:val="24"/>
        </w:rPr>
        <w:t xml:space="preserve">and where potential for success is high) </w:t>
      </w:r>
      <w:r>
        <w:rPr>
          <w:sz w:val="24"/>
        </w:rPr>
        <w:t>to increase future opportunities—e.g.,</w:t>
      </w:r>
    </w:p>
    <w:p>
      <w:pPr>
        <w:pStyle w:val="Normal"/>
        <w:numPr>
          <w:ilvl w:val="2"/>
          <w:numId w:val="2"/>
        </w:numPr>
        <w:rPr>
          <w:sz w:val="24"/>
        </w:rPr>
      </w:pPr>
      <w:r>
        <w:rPr>
          <w:sz w:val="24"/>
        </w:rPr>
        <w:t>Demand buy-down</w:t>
      </w:r>
    </w:p>
    <w:p>
      <w:pPr>
        <w:pStyle w:val="Normal"/>
        <w:numPr>
          <w:ilvl w:val="2"/>
          <w:numId w:val="2"/>
        </w:numPr>
        <w:rPr>
          <w:sz w:val="24"/>
        </w:rPr>
      </w:pPr>
      <w:r>
        <w:rPr>
          <w:sz w:val="24"/>
        </w:rPr>
        <w:t>Rate design</w:t>
      </w:r>
    </w:p>
    <w:p>
      <w:pPr>
        <w:pStyle w:val="Normal"/>
        <w:numPr>
          <w:ilvl w:val="2"/>
          <w:numId w:val="2"/>
        </w:numPr>
        <w:rPr>
          <w:sz w:val="24"/>
        </w:rPr>
      </w:pPr>
      <w:r>
        <w:rPr>
          <w:sz w:val="24"/>
        </w:rPr>
        <w:t xml:space="preserve">Core/non-core? </w:t>
      </w:r>
    </w:p>
    <w:p>
      <w:pPr>
        <w:pStyle w:val="Normal"/>
        <w:numPr>
          <w:ilvl w:val="0"/>
          <w:numId w:val="2"/>
        </w:numPr>
        <w:rPr>
          <w:sz w:val="24"/>
        </w:rPr>
      </w:pPr>
      <w:r>
        <w:rPr>
          <w:sz w:val="24"/>
        </w:rPr>
        <w:t xml:space="preserve">Message:  </w:t>
      </w:r>
    </w:p>
    <w:p>
      <w:pPr>
        <w:pStyle w:val="Normal"/>
        <w:numPr>
          <w:ilvl w:val="1"/>
          <w:numId w:val="2"/>
        </w:numPr>
        <w:rPr>
          <w:sz w:val="24"/>
        </w:rPr>
      </w:pPr>
      <w:r>
        <w:rPr>
          <w:sz w:val="24"/>
        </w:rPr>
        <w:t>Increase supply</w:t>
      </w:r>
    </w:p>
    <w:p>
      <w:pPr>
        <w:pStyle w:val="Normal"/>
        <w:numPr>
          <w:ilvl w:val="1"/>
          <w:numId w:val="2"/>
        </w:numPr>
        <w:rPr>
          <w:sz w:val="24"/>
        </w:rPr>
      </w:pPr>
      <w:r>
        <w:rPr>
          <w:sz w:val="24"/>
        </w:rPr>
        <w:t>Decrease demand</w:t>
      </w:r>
    </w:p>
    <w:p>
      <w:pPr>
        <w:pStyle w:val="Normal"/>
        <w:numPr>
          <w:ilvl w:val="1"/>
          <w:numId w:val="2"/>
        </w:numPr>
        <w:rPr>
          <w:sz w:val="24"/>
        </w:rPr>
      </w:pPr>
      <w:r>
        <w:rPr>
          <w:sz w:val="24"/>
        </w:rPr>
        <w:t>Maintain the solvency of utilities</w:t>
      </w:r>
    </w:p>
    <w:p>
      <w:pPr>
        <w:pStyle w:val="Normal"/>
        <w:numPr>
          <w:ilvl w:val="1"/>
          <w:numId w:val="2"/>
        </w:numPr>
        <w:rPr>
          <w:sz w:val="24"/>
        </w:rPr>
      </w:pPr>
      <w:r>
        <w:rPr>
          <w:sz w:val="24"/>
        </w:rPr>
        <w:t>Direct Access</w:t>
      </w:r>
    </w:p>
    <w:p>
      <w:pPr>
        <w:pStyle w:val="Normal"/>
        <w:numPr>
          <w:ilvl w:val="0"/>
          <w:numId w:val="2"/>
        </w:numPr>
        <w:rPr>
          <w:sz w:val="24"/>
        </w:rPr>
      </w:pPr>
      <w:r>
        <w:rPr>
          <w:sz w:val="24"/>
        </w:rPr>
        <w:t>Sacramento—Paul Kaufman, Sandy McCubbin</w:t>
      </w:r>
    </w:p>
    <w:p>
      <w:pPr>
        <w:pStyle w:val="Normal"/>
        <w:numPr>
          <w:ilvl w:val="1"/>
          <w:numId w:val="2"/>
        </w:numPr>
        <w:rPr>
          <w:sz w:val="24"/>
        </w:rPr>
      </w:pPr>
      <w:r>
        <w:rPr>
          <w:sz w:val="24"/>
        </w:rPr>
        <w:t>We need to specifically and expressly identify our goals and our messages.  We’ve tried this several times, but must remain vigilant that our efforts in California remain consistent with our goals and resolve the issues that affect our long-term prospects for business.</w:t>
      </w:r>
    </w:p>
    <w:p>
      <w:pPr>
        <w:pStyle w:val="Normal"/>
        <w:numPr>
          <w:ilvl w:val="2"/>
          <w:numId w:val="2"/>
        </w:numPr>
        <w:rPr>
          <w:sz w:val="24"/>
        </w:rPr>
      </w:pPr>
      <w:r>
        <w:rPr>
          <w:sz w:val="24"/>
        </w:rPr>
        <w:t>Issues:</w:t>
      </w:r>
    </w:p>
    <w:p>
      <w:pPr>
        <w:pStyle w:val="Normal"/>
        <w:numPr>
          <w:ilvl w:val="3"/>
          <w:numId w:val="2"/>
        </w:numPr>
        <w:rPr>
          <w:sz w:val="24"/>
        </w:rPr>
      </w:pPr>
      <w:r>
        <w:rPr>
          <w:sz w:val="24"/>
        </w:rPr>
        <w:t>Direct Access</w:t>
      </w:r>
    </w:p>
    <w:p>
      <w:pPr>
        <w:pStyle w:val="Normal"/>
        <w:numPr>
          <w:ilvl w:val="3"/>
          <w:numId w:val="2"/>
        </w:numPr>
        <w:rPr>
          <w:sz w:val="24"/>
        </w:rPr>
      </w:pPr>
      <w:r>
        <w:rPr>
          <w:sz w:val="24"/>
        </w:rPr>
        <w:t>Rate freeze end-date</w:t>
      </w:r>
    </w:p>
    <w:p>
      <w:pPr>
        <w:pStyle w:val="Normal"/>
        <w:numPr>
          <w:ilvl w:val="3"/>
          <w:numId w:val="2"/>
        </w:numPr>
        <w:rPr>
          <w:sz w:val="24"/>
        </w:rPr>
      </w:pPr>
      <w:r>
        <w:rPr>
          <w:sz w:val="24"/>
        </w:rPr>
        <w:t>Siting</w:t>
      </w:r>
    </w:p>
    <w:p>
      <w:pPr>
        <w:pStyle w:val="Normal"/>
        <w:numPr>
          <w:ilvl w:val="3"/>
          <w:numId w:val="2"/>
        </w:numPr>
        <w:rPr>
          <w:sz w:val="24"/>
        </w:rPr>
      </w:pPr>
      <w:r>
        <w:rPr>
          <w:sz w:val="24"/>
        </w:rPr>
        <w:t>Demand buy-down</w:t>
      </w:r>
    </w:p>
    <w:p>
      <w:pPr>
        <w:pStyle w:val="Normal"/>
        <w:numPr>
          <w:ilvl w:val="3"/>
          <w:numId w:val="2"/>
        </w:numPr>
        <w:rPr>
          <w:sz w:val="24"/>
        </w:rPr>
      </w:pPr>
      <w:r>
        <w:rPr>
          <w:sz w:val="24"/>
        </w:rPr>
        <w:t>Balkanization</w:t>
      </w:r>
    </w:p>
    <w:p>
      <w:pPr>
        <w:pStyle w:val="Normal"/>
        <w:numPr>
          <w:ilvl w:val="1"/>
          <w:numId w:val="2"/>
        </w:numPr>
        <w:rPr>
          <w:sz w:val="24"/>
        </w:rPr>
      </w:pPr>
      <w:r>
        <w:rPr>
          <w:sz w:val="24"/>
        </w:rPr>
        <w:t>However, we should also recognize that Enron is a dynamic place and that we have already moved off of our principles to address relatively short-term business interests:  (1) SBx 43—Alpert; (2) SBx8?—generators are public utilities bills.  We will always need a Sacto presence at some level and will want to lobby issues even during the extraordinary session.</w:t>
      </w:r>
    </w:p>
    <w:p>
      <w:pPr>
        <w:pStyle w:val="Normal"/>
        <w:numPr>
          <w:ilvl w:val="1"/>
          <w:numId w:val="2"/>
        </w:numPr>
        <w:rPr>
          <w:sz w:val="24"/>
        </w:rPr>
      </w:pPr>
      <w:r>
        <w:rPr>
          <w:sz w:val="24"/>
        </w:rPr>
        <w:t>Outside Staffing:</w:t>
      </w:r>
    </w:p>
    <w:p>
      <w:pPr>
        <w:pStyle w:val="Normal"/>
        <w:numPr>
          <w:ilvl w:val="2"/>
          <w:numId w:val="2"/>
        </w:numPr>
        <w:rPr>
          <w:sz w:val="24"/>
        </w:rPr>
      </w:pPr>
      <w:r>
        <w:rPr>
          <w:sz w:val="24"/>
        </w:rPr>
        <w:t>Through May 1:  Maintain current outside relationships.</w:t>
      </w:r>
    </w:p>
    <w:p>
      <w:pPr>
        <w:pStyle w:val="Normal"/>
        <w:numPr>
          <w:ilvl w:val="2"/>
          <w:numId w:val="2"/>
        </w:numPr>
        <w:rPr>
          <w:sz w:val="24"/>
        </w:rPr>
      </w:pPr>
      <w:r>
        <w:rPr>
          <w:sz w:val="24"/>
        </w:rPr>
        <w:t xml:space="preserve">May 1:  terminate large retainer with Goodin McBride (Mike Day).  </w:t>
      </w:r>
    </w:p>
    <w:p>
      <w:pPr>
        <w:pStyle w:val="Normal"/>
        <w:numPr>
          <w:ilvl w:val="2"/>
          <w:numId w:val="2"/>
        </w:numPr>
        <w:rPr>
          <w:sz w:val="24"/>
        </w:rPr>
      </w:pPr>
      <w:r>
        <w:rPr>
          <w:sz w:val="24"/>
        </w:rPr>
        <w:t xml:space="preserve">By end of session:  reduce outside lobbying presence to single firm.  </w:t>
      </w:r>
    </w:p>
    <w:p>
      <w:pPr>
        <w:pStyle w:val="Normal"/>
        <w:numPr>
          <w:ilvl w:val="1"/>
          <w:numId w:val="2"/>
        </w:numPr>
        <w:rPr>
          <w:sz w:val="24"/>
        </w:rPr>
      </w:pPr>
      <w:r>
        <w:rPr>
          <w:sz w:val="24"/>
        </w:rPr>
        <w:t xml:space="preserve">Internal staffing:  In addition to McCubbin, Kaufman will be in Sacto, 1 or 2 days/week.  Spokesman for hearings, press, etc., will be Kaufman/Jim Steffes after termination of retainer with Goodin/McBride.  However, effort will be to substantially reduce our public presence.  </w:t>
      </w:r>
    </w:p>
    <w:p>
      <w:pPr>
        <w:pStyle w:val="Normal"/>
        <w:numPr>
          <w:ilvl w:val="2"/>
          <w:numId w:val="2"/>
        </w:numPr>
        <w:rPr>
          <w:sz w:val="24"/>
        </w:rPr>
      </w:pPr>
      <w:r>
        <w:rPr>
          <w:sz w:val="24"/>
        </w:rPr>
        <w:t xml:space="preserve">Most positions will be communicated through letters of opposition/support, except were amendments are being sought and must be suported through testimony. </w:t>
      </w:r>
    </w:p>
    <w:p>
      <w:pPr>
        <w:pStyle w:val="Normal"/>
        <w:numPr>
          <w:ilvl w:val="2"/>
          <w:numId w:val="2"/>
        </w:numPr>
        <w:rPr>
          <w:sz w:val="24"/>
        </w:rPr>
      </w:pPr>
      <w:r>
        <w:rPr>
          <w:sz w:val="24"/>
        </w:rPr>
        <w:t>Leslie Lawner should be assigned to California legislative matters on a regular basis.</w:t>
      </w:r>
    </w:p>
    <w:p>
      <w:pPr>
        <w:pStyle w:val="Normal"/>
        <w:numPr>
          <w:ilvl w:val="2"/>
          <w:numId w:val="2"/>
        </w:numPr>
        <w:rPr>
          <w:sz w:val="24"/>
        </w:rPr>
      </w:pPr>
      <w:r>
        <w:rPr>
          <w:sz w:val="24"/>
        </w:rPr>
        <w:t>Ken Smith should be limited to:   (1) “owning” our relationship with the Bee; and (2) stealth presence for the Sacto press corps.</w:t>
      </w:r>
    </w:p>
    <w:p>
      <w:pPr>
        <w:pStyle w:val="Normal"/>
        <w:numPr>
          <w:ilvl w:val="0"/>
          <w:numId w:val="2"/>
        </w:numPr>
        <w:rPr>
          <w:sz w:val="24"/>
        </w:rPr>
      </w:pPr>
      <w:r>
        <w:rPr>
          <w:sz w:val="24"/>
        </w:rPr>
        <w:t>CPUC—Jeff Dasovich and Sue Mara</w:t>
      </w:r>
    </w:p>
    <w:p>
      <w:pPr>
        <w:pStyle w:val="Normal"/>
        <w:numPr>
          <w:ilvl w:val="1"/>
          <w:numId w:val="2"/>
        </w:numPr>
        <w:rPr>
          <w:sz w:val="24"/>
        </w:rPr>
      </w:pPr>
      <w:r>
        <w:rPr>
          <w:sz w:val="24"/>
        </w:rPr>
        <w:t xml:space="preserve">Retail development issues will be handled with Harry Kingerski’s support where possible.  Dasovich will be responsible for deciding where and when participation is appropriate.  </w:t>
      </w:r>
    </w:p>
    <w:p>
      <w:pPr>
        <w:pStyle w:val="Normal"/>
        <w:numPr>
          <w:ilvl w:val="2"/>
          <w:numId w:val="2"/>
        </w:numPr>
        <w:rPr>
          <w:sz w:val="24"/>
        </w:rPr>
      </w:pPr>
      <w:r>
        <w:rPr>
          <w:sz w:val="24"/>
        </w:rPr>
        <w:t>Rate design and split of revenues produced by recent CPUC rate increase.</w:t>
      </w:r>
    </w:p>
    <w:p>
      <w:pPr>
        <w:pStyle w:val="Normal"/>
        <w:numPr>
          <w:ilvl w:val="0"/>
          <w:numId w:val="2"/>
        </w:numPr>
        <w:rPr>
          <w:sz w:val="24"/>
        </w:rPr>
      </w:pPr>
      <w:r>
        <w:rPr>
          <w:sz w:val="24"/>
        </w:rPr>
        <w:t>ISO—Susan Mara and Alan Comnes</w:t>
      </w:r>
    </w:p>
    <w:p>
      <w:pPr>
        <w:pStyle w:val="Normal"/>
        <w:numPr>
          <w:ilvl w:val="1"/>
          <w:numId w:val="2"/>
        </w:numPr>
        <w:rPr>
          <w:sz w:val="24"/>
        </w:rPr>
      </w:pPr>
      <w:r>
        <w:rPr>
          <w:sz w:val="24"/>
        </w:rPr>
        <w:t xml:space="preserve">ISO issues will be handled with Comnes support.  Mara will be responsible for deciding where participation is appropriate.  </w:t>
      </w:r>
    </w:p>
    <w:p>
      <w:pPr>
        <w:pStyle w:val="Normal"/>
        <w:numPr>
          <w:ilvl w:val="1"/>
          <w:numId w:val="2"/>
        </w:numPr>
        <w:rPr>
          <w:sz w:val="24"/>
        </w:rPr>
      </w:pPr>
      <w:r>
        <w:rPr>
          <w:sz w:val="24"/>
        </w:rPr>
        <w:t>Primary focus:</w:t>
      </w:r>
    </w:p>
    <w:p>
      <w:pPr>
        <w:pStyle w:val="Normal"/>
        <w:numPr>
          <w:ilvl w:val="2"/>
          <w:numId w:val="2"/>
        </w:numPr>
        <w:rPr>
          <w:sz w:val="24"/>
        </w:rPr>
      </w:pPr>
      <w:r>
        <w:rPr>
          <w:sz w:val="24"/>
        </w:rPr>
        <w:t>Failure of Governance—capture by state political process.</w:t>
      </w:r>
    </w:p>
    <w:p>
      <w:pPr>
        <w:pStyle w:val="Normal"/>
        <w:numPr>
          <w:ilvl w:val="2"/>
          <w:numId w:val="2"/>
        </w:numPr>
        <w:rPr>
          <w:sz w:val="24"/>
        </w:rPr>
      </w:pPr>
      <w:r>
        <w:rPr>
          <w:sz w:val="24"/>
        </w:rPr>
        <w:t>Move towards PJM?</w:t>
      </w:r>
    </w:p>
    <w:p>
      <w:pPr>
        <w:pStyle w:val="Normal"/>
        <w:numPr>
          <w:ilvl w:val="2"/>
          <w:numId w:val="2"/>
        </w:numPr>
        <w:rPr>
          <w:sz w:val="24"/>
        </w:rPr>
      </w:pPr>
      <w:r>
        <w:rPr>
          <w:sz w:val="24"/>
        </w:rPr>
        <w:t xml:space="preserve"> </w:t>
      </w:r>
      <w:r>
        <w:rPr>
          <w:sz w:val="24"/>
        </w:rPr>
        <w:t>Balkanization effort.</w:t>
      </w:r>
    </w:p>
    <w:p>
      <w:pPr>
        <w:pStyle w:val="Normal"/>
        <w:numPr>
          <w:ilvl w:val="2"/>
          <w:numId w:val="2"/>
        </w:numPr>
        <w:rPr>
          <w:sz w:val="24"/>
        </w:rPr>
      </w:pPr>
      <w:r>
        <w:rPr>
          <w:sz w:val="24"/>
        </w:rPr>
        <w:t>Market Surveillance</w:t>
      </w:r>
    </w:p>
    <w:p>
      <w:pPr>
        <w:pStyle w:val="Normal"/>
        <w:numPr>
          <w:ilvl w:val="0"/>
          <w:numId w:val="2"/>
        </w:numPr>
        <w:rPr>
          <w:sz w:val="24"/>
        </w:rPr>
      </w:pPr>
      <w:r>
        <w:rPr>
          <w:sz w:val="24"/>
        </w:rPr>
        <w:t>Litigation/Complaint/Investigation Support—Jim Steffes, Comnes, Dasovich</w:t>
      </w:r>
    </w:p>
    <w:p>
      <w:pPr>
        <w:pStyle w:val="Normal"/>
        <w:numPr>
          <w:ilvl w:val="1"/>
          <w:numId w:val="2"/>
        </w:numPr>
        <w:rPr>
          <w:sz w:val="24"/>
        </w:rPr>
      </w:pPr>
      <w:r>
        <w:rPr>
          <w:sz w:val="24"/>
        </w:rPr>
        <w:t>Technical support to be provided by Comnes and Dasovich</w:t>
      </w:r>
    </w:p>
    <w:p>
      <w:pPr>
        <w:pStyle w:val="Normal"/>
        <w:numPr>
          <w:ilvl w:val="0"/>
          <w:numId w:val="2"/>
        </w:numPr>
        <w:rPr>
          <w:sz w:val="24"/>
        </w:rPr>
      </w:pPr>
      <w:r>
        <w:rPr>
          <w:sz w:val="24"/>
        </w:rPr>
        <w:t>Communication/Client Involvement</w:t>
      </w:r>
    </w:p>
    <w:p>
      <w:pPr>
        <w:pStyle w:val="Normal"/>
        <w:numPr>
          <w:ilvl w:val="1"/>
          <w:numId w:val="2"/>
        </w:numPr>
        <w:rPr>
          <w:sz w:val="24"/>
        </w:rPr>
      </w:pPr>
      <w:r>
        <w:rPr>
          <w:sz w:val="24"/>
        </w:rPr>
        <w:t>Daily calls will be limited to California team and the Commissar.  Others can participate, but should speak only by invitation.  Kaufman will chair call.   Dasovich will chair on Kaufman’s absence.</w:t>
      </w:r>
    </w:p>
    <w:p>
      <w:pPr>
        <w:pStyle w:val="Normal"/>
        <w:numPr>
          <w:ilvl w:val="2"/>
          <w:numId w:val="2"/>
        </w:numPr>
        <w:rPr>
          <w:sz w:val="24"/>
        </w:rPr>
      </w:pPr>
      <w:r>
        <w:rPr>
          <w:sz w:val="24"/>
        </w:rPr>
        <w:t xml:space="preserve">Agenda:  </w:t>
      </w:r>
    </w:p>
    <w:p>
      <w:pPr>
        <w:pStyle w:val="Normal"/>
        <w:numPr>
          <w:ilvl w:val="3"/>
          <w:numId w:val="2"/>
        </w:numPr>
        <w:rPr>
          <w:sz w:val="24"/>
        </w:rPr>
      </w:pPr>
      <w:r>
        <w:rPr>
          <w:sz w:val="24"/>
        </w:rPr>
        <w:t>Sacramento update.</w:t>
      </w:r>
    </w:p>
    <w:p>
      <w:pPr>
        <w:pStyle w:val="Normal"/>
        <w:numPr>
          <w:ilvl w:val="3"/>
          <w:numId w:val="2"/>
        </w:numPr>
        <w:rPr>
          <w:sz w:val="24"/>
        </w:rPr>
      </w:pPr>
      <w:r>
        <w:rPr>
          <w:sz w:val="24"/>
        </w:rPr>
        <w:t>CPUC/ISO update.</w:t>
      </w:r>
    </w:p>
    <w:p>
      <w:pPr>
        <w:pStyle w:val="Normal"/>
        <w:numPr>
          <w:ilvl w:val="3"/>
          <w:numId w:val="2"/>
        </w:numPr>
        <w:rPr>
          <w:sz w:val="24"/>
        </w:rPr>
      </w:pPr>
      <w:r>
        <w:rPr>
          <w:sz w:val="24"/>
        </w:rPr>
        <w:t>Questions from group?</w:t>
      </w:r>
    </w:p>
    <w:p>
      <w:pPr>
        <w:pStyle w:val="Normal"/>
        <w:numPr>
          <w:ilvl w:val="3"/>
          <w:numId w:val="2"/>
        </w:numPr>
        <w:rPr>
          <w:sz w:val="24"/>
        </w:rPr>
      </w:pPr>
      <w:r>
        <w:rPr>
          <w:sz w:val="24"/>
        </w:rPr>
        <w:t>Resource needs</w:t>
      </w:r>
    </w:p>
    <w:p>
      <w:pPr>
        <w:pStyle w:val="Normal"/>
        <w:numPr>
          <w:ilvl w:val="3"/>
          <w:numId w:val="2"/>
        </w:numPr>
        <w:rPr>
          <w:sz w:val="24"/>
        </w:rPr>
      </w:pPr>
      <w:r>
        <w:rPr>
          <w:sz w:val="24"/>
        </w:rPr>
        <w:t>Assignment</w:t>
      </w:r>
    </w:p>
    <w:p>
      <w:pPr>
        <w:pStyle w:val="Normal"/>
        <w:numPr>
          <w:ilvl w:val="0"/>
          <w:numId w:val="2"/>
        </w:numPr>
        <w:rPr>
          <w:sz w:val="24"/>
        </w:rPr>
      </w:pPr>
      <w:r>
        <w:rPr>
          <w:sz w:val="24"/>
        </w:rPr>
        <w:t>Budget:</w:t>
      </w:r>
      <w:r>
        <w:br w:type="page"/>
      </w:r>
    </w:p>
    <w:p>
      <w:pPr>
        <w:pStyle w:val="Normal"/>
        <w:rPr>
          <w:sz w:val="24"/>
        </w:rPr>
      </w:pPr>
      <w:r>
        <w:rPr>
          <w:sz w:val="24"/>
        </w:rPr>
      </w:r>
    </w:p>
    <w:p>
      <w:pPr>
        <w:pStyle w:val="Normal"/>
        <w:numPr>
          <w:ilvl w:val="1"/>
          <w:numId w:val="2"/>
        </w:numPr>
        <w:rPr>
          <w:sz w:val="24"/>
        </w:rPr>
      </w:pPr>
      <w:r>
        <w:rPr>
          <w:sz w:val="24"/>
        </w:rPr>
        <w:t>April – May 1:</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178"/>
        <w:gridCol w:w="2070"/>
        <w:gridCol w:w="1710"/>
        <w:gridCol w:w="2898"/>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Vendor</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Purpose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Amount</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Comments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Lang, Hanson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Annual retainer.  Terminates 12/1/01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Governmental Advocates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$15,800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Annual retainer, with $6,000 “surcharge” for special session.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Legislative support/lobbying—Monthly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Special retainer that terminates at end of April.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General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Retainer for general counsel work.</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Arter &amp; Hadden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General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Retainer for tariff advice work.</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Special retainer for rate case plan and rate design phase.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This amount is average cost for Goodin McBride representation in this proceeding.  Key issue was initially end-of-rate-freeze date.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MRW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Special retainer for rate case plan</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 be proposed.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TOTAL</w:t>
            </w:r>
            <w:r>
              <w:rPr>
                <w:rStyle w:val="FootnoteCharacters"/>
                <w:rStyle w:val="FootnoteReference"/>
              </w:rPr>
              <w:footnoteReference w:id="2"/>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$106,800</w:t>
            </w:r>
          </w:p>
        </w:tc>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bl>
    <w:p>
      <w:pPr>
        <w:pStyle w:val="Normal"/>
        <w:rPr>
          <w:sz w:val="24"/>
        </w:rPr>
      </w:pPr>
      <w:r>
        <w:rPr>
          <w:sz w:val="24"/>
        </w:rPr>
      </w:r>
      <w:r>
        <w:br w:type="page"/>
      </w:r>
    </w:p>
    <w:p>
      <w:pPr>
        <w:pStyle w:val="Normal"/>
        <w:rPr>
          <w:sz w:val="24"/>
        </w:rPr>
      </w:pPr>
      <w:r>
        <w:rPr>
          <w:sz w:val="24"/>
        </w:rPr>
      </w:r>
    </w:p>
    <w:p>
      <w:pPr>
        <w:pStyle w:val="Normal"/>
        <w:numPr>
          <w:ilvl w:val="1"/>
          <w:numId w:val="2"/>
        </w:numPr>
        <w:rPr>
          <w:sz w:val="24"/>
        </w:rPr>
      </w:pPr>
      <w:r>
        <w:rPr>
          <w:sz w:val="24"/>
        </w:rPr>
        <w:t>May 1 – end of year.</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178"/>
        <w:gridCol w:w="2070"/>
        <w:gridCol w:w="1710"/>
        <w:gridCol w:w="2898"/>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Vendor</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Purpose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Amount</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Comments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Lang, Hanson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$56,000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Annual retainer.  Terminates 12/1/01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Governmental Advocates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$80,600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Annual retainer, with $6,000 “surcharge” for special session which is assumed to end in June.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Legislative support/lobbying—Monthly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After termination of monthly retainer, we propose a “not to exceed” amount for June of $10,000.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General Retainer</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$5,000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Retainer for general counsel work.</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Arter &amp; Hadden</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Tariff Advice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Retainer for tariff advice work.  Suggest termination of retainer on June 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Goodin McBride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Special retainer for rate case plan and rate design phase.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This amount reflects average $30,000/month for  Goodin McBride representation in this proceeding.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MRW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Special retainer for rate case plan</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$10,000</w:t>
            </w:r>
          </w:p>
        </w:tc>
        <w:tc>
          <w:tcPr>
            <w:tcW w:w="289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 be proposed.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TOTAL</w:t>
            </w:r>
            <w:r>
              <w:rPr>
                <w:rStyle w:val="FootnoteCharacters"/>
                <w:rStyle w:val="FootnoteReference"/>
              </w:rPr>
              <w:footnoteReference w:id="3"/>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$264,600</w:t>
            </w:r>
          </w:p>
        </w:tc>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tc>
      </w:tr>
    </w:tbl>
    <w:p>
      <w:pPr>
        <w:pStyle w:val="Normal"/>
        <w:rPr>
          <w:sz w:val="24"/>
        </w:rPr>
      </w:pPr>
      <w:r>
        <w:rPr>
          <w:sz w:val="24"/>
        </w:rPr>
      </w:r>
    </w:p>
    <w:p>
      <w:pPr>
        <w:pStyle w:val="Normal"/>
        <w:rPr>
          <w:sz w:val="24"/>
        </w:rPr>
      </w:pPr>
      <w:r>
        <w:rPr>
          <w:sz w:val="24"/>
        </w:rPr>
      </w:r>
    </w:p>
    <w:p>
      <w:pPr>
        <w:pStyle w:val="Normal"/>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This amount does not include amounts expected for Bracewell &amp; Patterson representation at FERC, or KDS Communications retainer costs.  Additional amounts for work undertaken by Goodin McBride contracted through Harry Kingerski’s group have not been incluced.  </w:t>
      </w:r>
    </w:p>
  </w:footnote>
  <w:footnote w:id="3">
    <w:p>
      <w:pPr>
        <w:pStyle w:val="FootnoteText"/>
        <w:rPr/>
      </w:pPr>
      <w:r>
        <w:rPr>
          <w:rStyle w:val="FootnoteCharacters"/>
        </w:rPr>
        <w:footnoteRef/>
      </w:r>
      <w:r>
        <w:rPr/>
        <w:t xml:space="preserve"> </w:t>
      </w:r>
      <w:r>
        <w:rPr/>
        <w:t xml:space="preserve">This amount does not include amounts expected for Bracewell &amp; Patterson representation at FERC, or KDS Communications retainer costs.  Additional amounts for work undertaken by Goodin McBride or MRW contracted through Harry Kingerski’s group have not been incluced.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2001-04-04T16:57:00Z</dcterms:created>
  <dc:creator>pkaufma</dc:creator>
  <dc:description/>
  <dc:language>en-CA</dc:language>
  <cp:lastModifiedBy>pkaufma</cp:lastModifiedBy>
  <cp:lastPrinted>2001-04-04T13:30:00Z</cp:lastPrinted>
  <dcterms:modified xsi:type="dcterms:W3CDTF">2001-04-04T16:57:00Z</dcterms:modified>
  <cp:revision>2</cp:revision>
  <dc:subject/>
  <dc:title> Macro Suggestions:  </dc:title>
</cp:coreProperties>
</file>