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bookmarkStart w:id="0" w:name="_986796794"/>
      <w:bookmarkEnd w:id="0"/>
      <w:r>
        <w:rPr/>
        <w:object w:dxaOrig="1560" w:dyaOrig="154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7.95pt;height:78.9pt" filled="f" o:ole="">
            <v:imagedata r:id="rId3" o:title=""/>
          </v:shape>
          <o:OLEObject Type="Embed" ProgID="" ShapeID="ole_rId2" DrawAspect="Content" ObjectID="_1934262873" r:id="rId2"/>
        </w:object>
      </w:r>
    </w:p>
    <w:p>
      <w:pPr>
        <w:pStyle w:val="Heading"/>
        <w:rPr/>
      </w:pPr>
      <w:r>
        <w:rPr/>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Keith Fullenweider and Ann Ballard</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Paul Kaufman</w:t>
            </w:r>
          </w:p>
        </w:tc>
        <w:tc>
          <w:tcPr>
            <w:tcW w:w="990" w:type="dxa"/>
            <w:tcBorders/>
          </w:tcPr>
          <w:p>
            <w:pPr>
              <w:pStyle w:val="Normal"/>
              <w:snapToGrid w:val="false"/>
              <w:ind w:start="-180" w:end="0"/>
              <w:jc w:val="end"/>
              <w:rPr>
                <w:sz w:val="16"/>
              </w:rPr>
            </w:pPr>
            <w:r>
              <w:rPr>
                <w:sz w:val="16"/>
              </w:rPr>
            </w:r>
          </w:p>
        </w:tc>
        <w:tc>
          <w:tcPr>
            <w:tcW w:w="2965" w:type="dxa"/>
            <w:tcBorders/>
          </w:tcPr>
          <w:p>
            <w:pPr>
              <w:pStyle w:val="Department"/>
              <w:snapToGrid w:val="false"/>
              <w:rPr>
                <w:sz w:val="16"/>
              </w:rPr>
            </w:pPr>
            <w:r>
              <w:rPr>
                <w:sz w:val="16"/>
              </w:rPr>
            </w:r>
            <w:bookmarkStart w:id="1" w:name="From"/>
            <w:bookmarkStart w:id="2" w:name="From"/>
            <w:bookmarkEnd w:id="2"/>
          </w:p>
        </w:tc>
      </w:tr>
      <w:tr>
        <w:trPr>
          <w:trHeight w:val="216" w:hRule="exact"/>
        </w:trPr>
        <w:tc>
          <w:tcPr>
            <w:tcW w:w="708" w:type="dxa"/>
            <w:tcBorders/>
          </w:tcPr>
          <w:p>
            <w:pPr>
              <w:pStyle w:val="Normal"/>
              <w:snapToGrid w:val="false"/>
              <w:ind w:start="-180" w:end="0"/>
              <w:jc w:val="end"/>
              <w:rPr>
                <w:sz w:val="18"/>
              </w:rPr>
            </w:pPr>
            <w:r>
              <w:rPr>
                <w:sz w:val="18"/>
              </w:rPr>
            </w:r>
          </w:p>
          <w:p>
            <w:pPr>
              <w:pStyle w:val="Normal"/>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Granite Update</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April 3, 2000</w:t>
            </w:r>
          </w:p>
        </w:tc>
      </w:tr>
    </w:tbl>
    <w:p>
      <w:pPr>
        <w:pStyle w:val="Body"/>
        <w:rPr>
          <w:color w:val="auto"/>
        </w:rPr>
      </w:pPr>
      <w:r>
        <w:rPr>
          <w:color w:val="auto"/>
        </w:rPr>
      </w:r>
      <w:bookmarkStart w:id="3" w:name="StartOfMemo"/>
      <w:bookmarkStart w:id="4" w:name="StartOfMemo"/>
      <w:bookmarkEnd w:id="4"/>
    </w:p>
    <w:p>
      <w:pPr>
        <w:pStyle w:val="Body"/>
        <w:rPr>
          <w:b/>
          <w:color w:val="auto"/>
        </w:rPr>
      </w:pPr>
      <w:r>
        <w:rPr>
          <w:b/>
          <w:color w:val="auto"/>
          <w:u w:val="single"/>
        </w:rPr>
        <w:t>Nevada</w:t>
      </w:r>
    </w:p>
    <w:p>
      <w:pPr>
        <w:pStyle w:val="Body"/>
        <w:rPr>
          <w:b/>
          <w:color w:val="auto"/>
        </w:rPr>
      </w:pPr>
      <w:r>
        <w:rPr>
          <w:b/>
          <w:color w:val="auto"/>
        </w:rPr>
      </w:r>
    </w:p>
    <w:p>
      <w:pPr>
        <w:pStyle w:val="Body"/>
        <w:rPr/>
      </w:pPr>
      <w:r>
        <w:rPr>
          <w:b/>
          <w:color w:val="auto"/>
        </w:rPr>
        <w:t>Deferred Energy Ruling.</w:t>
      </w:r>
      <w:r>
        <w:rPr>
          <w:color w:val="auto"/>
        </w:rPr>
        <w:t xml:space="preserve">  Early last week the Nevada PUC issued its decision on Nevada Power’s request to recover approximately $44 million in deferred fuel and purchased power (“deferred energy”) expenses from ratepayers.  In its decision, the PUCN rejected Nevada Power’s request and found that Nevada Power owed ratepayers $12 million.</w:t>
      </w:r>
    </w:p>
    <w:p>
      <w:pPr>
        <w:pStyle w:val="Body"/>
        <w:rPr>
          <w:color w:val="auto"/>
        </w:rPr>
      </w:pPr>
      <w:r>
        <w:rPr>
          <w:color w:val="auto"/>
        </w:rPr>
      </w:r>
    </w:p>
    <w:p>
      <w:pPr>
        <w:pStyle w:val="Body"/>
        <w:rPr>
          <w:color w:val="auto"/>
        </w:rPr>
      </w:pPr>
      <w:r>
        <w:rPr>
          <w:color w:val="auto"/>
        </w:rPr>
        <w:t>To date, the deferred energy process has allowed Nevada Power to seek recovery of approved energy costs directly from ratepayers in a two-part process.  Distilled to its essence, this process:  (1) allows Nevada Power to charge ratepayers for energy costs (determined on a historical basis over a fixed period); (2) account for actual energy costs; and (3) adjust the energy charges for ratepayers based on a comparison of what was charged for energy, the revenues earned during the relevant period, and actual energy costs during the relevant period.  Senate Bill 438, which became law in early summer 1999:  (1) eliminated the deferred energy process; and (2) allowed Nevada Power to seek recovery of the remaining balance in the deferred energy account with a PUCN filing made by October, 1999.</w:t>
      </w:r>
    </w:p>
    <w:p>
      <w:pPr>
        <w:pStyle w:val="Body"/>
        <w:rPr>
          <w:color w:val="auto"/>
        </w:rPr>
      </w:pPr>
      <w:r>
        <w:rPr>
          <w:color w:val="auto"/>
        </w:rPr>
      </w:r>
    </w:p>
    <w:p>
      <w:pPr>
        <w:pStyle w:val="Body"/>
        <w:rPr>
          <w:color w:val="auto"/>
        </w:rPr>
      </w:pPr>
      <w:r>
        <w:rPr>
          <w:color w:val="auto"/>
        </w:rPr>
        <w:t>The request for recovery of the $44 million was made in mid-1999 (reflecting the balance of energy costs for the spring, 1999 period).  It was followed by a subsequent request for an additional $66 million of deferred energy costs (associated with Nevada Power’s summer peak season).   The PUCN rejected Nevada Power’s $66 million request in early February.</w:t>
      </w:r>
    </w:p>
    <w:p>
      <w:pPr>
        <w:pStyle w:val="Body"/>
        <w:rPr>
          <w:color w:val="auto"/>
        </w:rPr>
      </w:pPr>
      <w:r>
        <w:rPr>
          <w:color w:val="auto"/>
        </w:rPr>
      </w:r>
    </w:p>
    <w:p>
      <w:pPr>
        <w:pStyle w:val="Body"/>
        <w:rPr/>
      </w:pPr>
      <w:r>
        <w:rPr>
          <w:b/>
          <w:color w:val="auto"/>
        </w:rPr>
        <w:t>Litigation Filed by Sierra</w:t>
      </w:r>
      <w:r>
        <w:rPr>
          <w:color w:val="auto"/>
        </w:rPr>
        <w:t>.  On or around March 28 Sierra filed a federal district court case against the PUCN and each of the PUCN Commissioners.  The 45-page complaint challenges the constitutionality of Nevada’s restructuring statutes and seeks an order of the Court enjoining the Commission from taking “any action to implement the Restructuring Act.”   The basis of the complaint appears to be the rate freeze put in place by SB 438, the elimination of future deferred energy proceedings, and the Commission’s recent decisions rejecting the $66 million and $44 million deferred energy requests.  Sierra has confirmed this conclusion.</w:t>
      </w:r>
    </w:p>
    <w:p>
      <w:pPr>
        <w:pStyle w:val="Body"/>
        <w:rPr>
          <w:color w:val="auto"/>
        </w:rPr>
      </w:pPr>
      <w:r>
        <w:rPr>
          <w:color w:val="auto"/>
        </w:rPr>
      </w:r>
    </w:p>
    <w:p>
      <w:pPr>
        <w:pStyle w:val="Body"/>
        <w:rPr>
          <w:color w:val="auto"/>
        </w:rPr>
      </w:pPr>
      <w:r>
        <w:rPr>
          <w:color w:val="auto"/>
        </w:rPr>
        <w:t>Of note is that the litigation does not put a halt to Sierra’s generation asset divestiture or its discussions concerning transmission matters.  Thus, on its face, the federal court litigation does not appear to have a direct effect on the various regulatory proceedings associated with the sale of PGE.  However, the litigation may have an indirect impact on, at least, the OPUC’s review of the sale.   ICNU, which is a major party to the OPUC proceeding, has stated that Oregon restructuring is their key issue in the sale.  By virtue of the litigation, ICNU may question Sierra’s commitment to restructuring.</w:t>
      </w:r>
    </w:p>
    <w:p>
      <w:pPr>
        <w:pStyle w:val="Body"/>
        <w:rPr>
          <w:color w:val="auto"/>
        </w:rPr>
      </w:pPr>
      <w:r>
        <w:rPr>
          <w:color w:val="auto"/>
        </w:rPr>
      </w:r>
    </w:p>
    <w:p>
      <w:pPr>
        <w:pStyle w:val="Body"/>
        <w:rPr>
          <w:color w:val="auto"/>
        </w:rPr>
      </w:pPr>
      <w:r>
        <w:rPr>
          <w:color w:val="auto"/>
        </w:rPr>
        <w:t>Further, the litigation may also raise “hackles” at the OPUC staff and Commissioner level.  Regulatory agencies do not like being challenged in court.   In this regard, note that Sierra has filed an appeal of the PUCN’s deferred energy decisions in Nevada State court.</w:t>
      </w:r>
    </w:p>
    <w:p>
      <w:pPr>
        <w:pStyle w:val="Body"/>
        <w:rPr>
          <w:color w:val="auto"/>
        </w:rPr>
      </w:pPr>
      <w:r>
        <w:rPr>
          <w:color w:val="auto"/>
        </w:rPr>
      </w:r>
      <w:r>
        <w:br w:type="page"/>
      </w:r>
    </w:p>
    <w:p>
      <w:pPr>
        <w:pStyle w:val="Body"/>
        <w:rPr>
          <w:color w:val="auto"/>
        </w:rPr>
      </w:pPr>
      <w:r>
        <w:rPr>
          <w:b/>
          <w:color w:val="auto"/>
        </w:rPr>
        <w:t>Other Matters in Nevada</w:t>
      </w:r>
    </w:p>
    <w:p>
      <w:pPr>
        <w:pStyle w:val="Body"/>
        <w:rPr>
          <w:color w:val="auto"/>
        </w:rPr>
      </w:pPr>
      <w:r>
        <w:rPr>
          <w:color w:val="auto"/>
        </w:rPr>
      </w:r>
    </w:p>
    <w:p>
      <w:pPr>
        <w:pStyle w:val="Body"/>
        <w:rPr>
          <w:color w:val="auto"/>
        </w:rPr>
      </w:pPr>
      <w:r>
        <w:rPr>
          <w:color w:val="auto"/>
        </w:rPr>
        <w:t>An interim committee of the Nevada legislature is meeting today to consider the PUCN’s stranded cost regulation.  Sierra has challenged the regulation because of several concerns—e.g., the regulation does not provide sufficient certainty on the recovery of Sierra’s PURPA assets.   Sierra will challenge the regulation as being inconsistent with Nevada legislation before the interim committee.  We further expect that the interim committee will want to discuss Sierra’s litigation and the status of restructuring in general.  I will forward a report on the interim committee proceedings today or tomorrow.</w:t>
      </w:r>
    </w:p>
    <w:p>
      <w:pPr>
        <w:pStyle w:val="Body"/>
        <w:rPr>
          <w:b/>
          <w:color w:val="auto"/>
        </w:rPr>
      </w:pPr>
      <w:r>
        <w:rPr>
          <w:b/>
          <w:color w:val="auto"/>
        </w:rPr>
      </w:r>
    </w:p>
    <w:p>
      <w:pPr>
        <w:pStyle w:val="Body"/>
        <w:rPr>
          <w:color w:val="auto"/>
        </w:rPr>
      </w:pPr>
      <w:r>
        <w:rPr>
          <w:b/>
          <w:color w:val="auto"/>
          <w:u w:val="single"/>
        </w:rPr>
        <w:t>Oregon Proceeding</w:t>
      </w:r>
    </w:p>
    <w:p>
      <w:pPr>
        <w:pStyle w:val="Body"/>
        <w:rPr>
          <w:color w:val="auto"/>
        </w:rPr>
      </w:pPr>
      <w:r>
        <w:rPr>
          <w:color w:val="auto"/>
        </w:rPr>
      </w:r>
    </w:p>
    <w:p>
      <w:pPr>
        <w:pStyle w:val="Body"/>
        <w:rPr/>
      </w:pPr>
      <w:r>
        <w:rPr>
          <w:b/>
          <w:color w:val="auto"/>
        </w:rPr>
        <w:t>Discovery Dispute.</w:t>
      </w:r>
      <w:r>
        <w:rPr>
          <w:color w:val="auto"/>
        </w:rPr>
        <w:t xml:space="preserve">  I will fax to you under separate cover a memorandum from our outside counsel that discusses a discovery dispute that was brewing with OPUC staff.  At one point, staff stated that as a result of the dispute they would seek a 60-day delay in the OPUC’s review of the PGE sale.</w:t>
      </w:r>
    </w:p>
    <w:p>
      <w:pPr>
        <w:pStyle w:val="Body"/>
        <w:rPr>
          <w:b/>
          <w:color w:val="auto"/>
        </w:rPr>
      </w:pPr>
      <w:r>
        <w:rPr>
          <w:b/>
          <w:color w:val="auto"/>
        </w:rPr>
      </w:r>
    </w:p>
    <w:p>
      <w:pPr>
        <w:pStyle w:val="Body"/>
        <w:rPr>
          <w:color w:val="auto"/>
        </w:rPr>
      </w:pPr>
      <w:r>
        <w:rPr>
          <w:color w:val="auto"/>
        </w:rPr>
        <w:t>The dispute has now been resolved with Sierra lifting its objections to producing data to all parties that are signatories to the general protective order in the OPUC proceeding.   I understand that Sierra will withdraw its motion for a “super protective order,” which would have only provided PUCN staff with access to certain data.  The dispute over the super protective order delayed Sierra’s responses to certain of these requests for approximately 30 days.  Note that ICNU and CUB strongly objected to the super protective order.</w:t>
      </w:r>
    </w:p>
    <w:p>
      <w:pPr>
        <w:pStyle w:val="Body"/>
        <w:rPr>
          <w:b/>
          <w:color w:val="auto"/>
        </w:rPr>
      </w:pPr>
      <w:r>
        <w:rPr>
          <w:b/>
          <w:color w:val="auto"/>
        </w:rPr>
      </w:r>
    </w:p>
    <w:p>
      <w:pPr>
        <w:pStyle w:val="Body"/>
        <w:rPr>
          <w:color w:val="auto"/>
        </w:rPr>
      </w:pPr>
      <w:r>
        <w:rPr>
          <w:color w:val="auto"/>
        </w:rPr>
        <w:t xml:space="preserve">As indicated in the memorandum concerning discovery, we also sought to limit the production of certain portions of the Seller’s disclosure schedule—viz., the schedule’s discussion of pending litigation, environmental liability, and PGH value. We have resolved these concerns with staff.  We understand from staff that our concerns with the disclosure schedule did not delay staff’s analysis of the proposal to sell PGE.  </w:t>
      </w:r>
    </w:p>
    <w:p>
      <w:pPr>
        <w:pStyle w:val="Body"/>
        <w:rPr>
          <w:color w:val="auto"/>
        </w:rPr>
      </w:pPr>
      <w:r>
        <w:rPr>
          <w:color w:val="auto"/>
        </w:rPr>
      </w:r>
    </w:p>
    <w:p>
      <w:pPr>
        <w:pStyle w:val="Body"/>
        <w:rPr>
          <w:color w:val="auto"/>
        </w:rPr>
      </w:pPr>
      <w:r>
        <w:rPr>
          <w:color w:val="auto"/>
        </w:rPr>
        <w:t xml:space="preserve">The end result of the discovery dispute is that staff will seek a 30-day delay in the proceeding.  Note that this delay does not prohibit or impair our ability to settle the proceeding.  However, the delay will likely affect the timing of the OPUC’s decision on this matter should a formal hearing be required to bring this case to closure.  Should we end up with a hearing in this case, the OPUC will not be issuing a decision until August of this year.  </w:t>
      </w:r>
    </w:p>
    <w:p>
      <w:pPr>
        <w:pStyle w:val="Body"/>
        <w:rPr>
          <w:color w:val="auto"/>
        </w:rPr>
      </w:pPr>
      <w:r>
        <w:rPr>
          <w:color w:val="auto"/>
        </w:rPr>
      </w:r>
    </w:p>
    <w:p>
      <w:pPr>
        <w:pStyle w:val="Body"/>
        <w:rPr/>
      </w:pPr>
      <w:r>
        <w:rPr>
          <w:b/>
          <w:color w:val="auto"/>
        </w:rPr>
        <w:t>Staff’s Concerns with Cooperation</w:t>
      </w:r>
      <w:r>
        <w:rPr>
          <w:color w:val="auto"/>
        </w:rPr>
        <w:t xml:space="preserve">.  In an off-the-record discussion, OPUC staff informed Pamela Lesh of their concerns with Sierra’s compliance with PUCN decisions.  We believe these concerns spring from:  </w:t>
      </w:r>
    </w:p>
    <w:p>
      <w:pPr>
        <w:pStyle w:val="Body"/>
        <w:rPr>
          <w:b/>
          <w:color w:val="auto"/>
        </w:rPr>
      </w:pPr>
      <w:r>
        <w:rPr>
          <w:b/>
          <w:color w:val="auto"/>
        </w:rPr>
      </w:r>
    </w:p>
    <w:p>
      <w:pPr>
        <w:pStyle w:val="Body"/>
        <w:numPr>
          <w:ilvl w:val="0"/>
          <w:numId w:val="2"/>
        </w:numPr>
        <w:rPr>
          <w:color w:val="auto"/>
        </w:rPr>
      </w:pPr>
      <w:r>
        <w:rPr>
          <w:color w:val="auto"/>
        </w:rPr>
        <w:t>Sierra’s failure to file an unbundled rate design using a distribution service revenue requirement adopted by the PUCN in a prior decision.   The PUCN’s “compliance” regulations and the PUCN’s decision required Sierra to use the unbundled revenue requirement, which Sierra believed to be unlawful.</w:t>
      </w:r>
    </w:p>
    <w:p>
      <w:pPr>
        <w:pStyle w:val="Body"/>
        <w:ind w:start="720" w:end="0"/>
        <w:rPr>
          <w:color w:val="auto"/>
        </w:rPr>
      </w:pPr>
      <w:r>
        <w:rPr>
          <w:color w:val="auto"/>
        </w:rPr>
      </w:r>
    </w:p>
    <w:p>
      <w:pPr>
        <w:pStyle w:val="Body"/>
        <w:numPr>
          <w:ilvl w:val="0"/>
          <w:numId w:val="2"/>
        </w:numPr>
        <w:rPr>
          <w:color w:val="auto"/>
        </w:rPr>
      </w:pPr>
      <w:r>
        <w:rPr>
          <w:color w:val="auto"/>
        </w:rPr>
        <w:t>A “show cause” hearing in the Sierra/Nevada Power merger proceeding, in which Sierra was asked to explain a FERC filing seeking approval of a cost-based “recourse” tariff.   PUCN staff interpreted an agreement reached with Sierra to require a “marked-based recourse tariff.”</w:t>
      </w:r>
    </w:p>
    <w:p>
      <w:pPr>
        <w:pStyle w:val="Body"/>
        <w:rPr>
          <w:color w:val="auto"/>
        </w:rPr>
      </w:pPr>
      <w:r>
        <w:rPr>
          <w:color w:val="auto"/>
        </w:rPr>
      </w:r>
    </w:p>
    <w:p>
      <w:pPr>
        <w:pStyle w:val="Body"/>
        <w:rPr>
          <w:color w:val="auto"/>
        </w:rPr>
      </w:pPr>
      <w:r>
        <w:rPr>
          <w:color w:val="auto"/>
        </w:rPr>
        <w:t xml:space="preserve">OPUC staff has met with PUCN staff.  We understand that OPUC staff may seek to depose PUCN staff.  PUCN staff is at this time reluctant to agree to a deposition.   </w:t>
      </w:r>
    </w:p>
    <w:p>
      <w:pPr>
        <w:pStyle w:val="Body"/>
        <w:rPr>
          <w:color w:val="auto"/>
        </w:rPr>
      </w:pPr>
      <w:r>
        <w:rPr>
          <w:color w:val="auto"/>
        </w:rPr>
      </w:r>
    </w:p>
    <w:p>
      <w:pPr>
        <w:pStyle w:val="Body"/>
        <w:rPr/>
      </w:pPr>
      <w:r>
        <w:rPr>
          <w:b/>
          <w:color w:val="auto"/>
        </w:rPr>
        <w:t>Goodwill</w:t>
      </w:r>
      <w:r>
        <w:rPr>
          <w:color w:val="auto"/>
        </w:rPr>
        <w:t>.  I will fax to you under separate cover a memorandum reporting on the status of Sierra’s request to collect goodwill from Oregon ratepayers.  We understand that OPUC staff is reluctant to grant Sierra’s request because of a concern with the precedent such approval may establish.  Sierra is developing an alternative proposal that will not force a decision on goodwill.  We understand that Sierra intends to float the proposal after internal PGE and Enron Corp. review this week.</w:t>
      </w:r>
    </w:p>
    <w:p>
      <w:pPr>
        <w:pStyle w:val="Body"/>
        <w:rPr>
          <w:b/>
          <w:color w:val="auto"/>
        </w:rPr>
      </w:pPr>
      <w:r>
        <w:rPr>
          <w:b/>
          <w:color w:val="auto"/>
        </w:rPr>
      </w:r>
    </w:p>
    <w:p>
      <w:pPr>
        <w:pStyle w:val="Body"/>
        <w:rPr/>
      </w:pPr>
      <w:r>
        <w:rPr>
          <w:b/>
          <w:color w:val="auto"/>
        </w:rPr>
        <w:t>Public Meeting</w:t>
      </w:r>
      <w:r>
        <w:rPr>
          <w:color w:val="auto"/>
        </w:rPr>
        <w:t xml:space="preserve">.  The OPUC has now scheduled to “public meetings.”  These meetings provide the general public with an opportunity to discuss their views on the sale of PGE.  The first of these meeting is tonight in Portland.  The second meeting will be held in Salem next week.  I will provide a report on these meetings.  </w:t>
      </w:r>
    </w:p>
    <w:p>
      <w:pPr>
        <w:pStyle w:val="Body"/>
        <w:rPr>
          <w:b/>
          <w:color w:val="auto"/>
        </w:rPr>
      </w:pPr>
      <w:r>
        <w:rPr>
          <w:b/>
          <w:color w:val="auto"/>
        </w:rPr>
      </w:r>
    </w:p>
    <w:p>
      <w:pPr>
        <w:pStyle w:val="Body"/>
        <w:rPr>
          <w:color w:val="auto"/>
        </w:rPr>
      </w:pPr>
      <w:r>
        <w:rPr>
          <w:color w:val="auto"/>
        </w:rPr>
        <w:t>Sierra will use these meetings as an opportunity to meet with OPUC staff and resolve the concerns with compliance as well as float the goodwill resolution discussed above.</w:t>
      </w:r>
    </w:p>
    <w:p>
      <w:pPr>
        <w:pStyle w:val="Body"/>
        <w:rPr>
          <w:color w:val="auto"/>
        </w:rPr>
      </w:pPr>
      <w:r>
        <w:rPr>
          <w:color w:val="auto"/>
        </w:rPr>
      </w:r>
    </w:p>
    <w:p>
      <w:pPr>
        <w:pStyle w:val="Body"/>
        <w:jc w:val="center"/>
        <w:rPr>
          <w:color w:val="auto"/>
        </w:rPr>
      </w:pPr>
      <w:r>
        <w:rPr>
          <w:color w:val="auto"/>
        </w:rPr>
        <w:t>^^^</w:t>
      </w:r>
    </w:p>
    <w:p>
      <w:pPr>
        <w:pStyle w:val="Body"/>
        <w:jc w:val="center"/>
        <w:rPr>
          <w:color w:val="auto"/>
        </w:rPr>
      </w:pPr>
      <w:r>
        <w:rPr>
          <w:color w:val="auto"/>
        </w:rPr>
      </w:r>
    </w:p>
    <w:p>
      <w:pPr>
        <w:pStyle w:val="Body"/>
        <w:rPr>
          <w:color w:val="auto"/>
        </w:rPr>
      </w:pPr>
      <w:r>
        <w:rPr>
          <w:color w:val="auto"/>
        </w:rPr>
        <w:t xml:space="preserve">Please contact me if you have any questions concerning this memorandum or the memorandums faxed to you under separate cover.  I’ll be out of the office Wednesday afternoon and Thursday in our San Francisco office.  I will be checking voicemail and can be contacted through my pager—888.916.2262. </w:t>
      </w:r>
    </w:p>
    <w:p>
      <w:pPr>
        <w:pStyle w:val="Body"/>
        <w:rPr>
          <w:color w:val="auto"/>
        </w:rPr>
      </w:pPr>
      <w:r>
        <w:rPr>
          <w:color w:val="auto"/>
        </w:rPr>
      </w:r>
    </w:p>
    <w:p>
      <w:pPr>
        <w:pStyle w:val="Body"/>
        <w:rPr>
          <w:color w:val="auto"/>
        </w:rPr>
      </w:pPr>
      <w:r>
        <w:rPr>
          <w:color w:val="auto"/>
        </w:rPr>
      </w:r>
    </w:p>
    <w:p>
      <w:pPr>
        <w:pStyle w:val="Body"/>
        <w:rPr>
          <w:color w:val="auto"/>
        </w:rPr>
      </w:pPr>
      <w:r>
        <w:rPr>
          <w:color w:val="auto"/>
        </w:rPr>
      </w:r>
    </w:p>
    <w:p>
      <w:pPr>
        <w:pStyle w:val="Body"/>
        <w:rPr>
          <w:color w:val="auto"/>
        </w:rPr>
      </w:pPr>
      <w:r>
        <w:rPr>
          <w:color w:val="auto"/>
        </w:rPr>
      </w:r>
    </w:p>
    <w:p>
      <w:pPr>
        <w:pStyle w:val="Body"/>
        <w:rPr>
          <w:color w:val="auto"/>
        </w:rPr>
      </w:pPr>
      <w:r>
        <w:rPr>
          <w:color w:val="auto"/>
        </w:rPr>
      </w:r>
    </w:p>
    <w:p>
      <w:pPr>
        <w:pStyle w:val="Body"/>
        <w:jc w:val="center"/>
        <w:rPr>
          <w:color w:val="auto"/>
        </w:rPr>
      </w:pPr>
      <w:r>
        <w:rPr>
          <w:color w:val="auto"/>
        </w:rPr>
      </w:r>
    </w:p>
    <w:sectPr>
      <w:headerReference w:type="default" r:id="rId4"/>
      <w:headerReference w:type="first" r:id="rId5"/>
      <w:footerReference w:type="default" r:id="rId6"/>
      <w:footerReference w:type="first" r:id="rId7"/>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4/03/00</w:t>
      <w:tab/>
      <w:t xml:space="preserve">Page </w:t>
    </w:r>
    <w:r>
      <w:rPr/>
      <w:fldChar w:fldCharType="begin"/>
    </w:r>
    <w:r>
      <w:rPr/>
      <w:instrText xml:space="preserve"> PAGE </w:instrText>
    </w:r>
    <w:r>
      <w:rPr/>
      <w:fldChar w:fldCharType="separate"/>
    </w:r>
    <w:r>
      <w:rPr/>
      <w:t>3</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635</wp:posOffset>
              </wp:positionV>
              <wp:extent cx="3877310" cy="1002030"/>
              <wp:effectExtent l="0" t="0" r="0" b="0"/>
              <wp:wrapSquare wrapText="bothSides"/>
              <wp:docPr id="1" name="Frame1"/>
              <a:graphic xmlns:a="http://schemas.openxmlformats.org/drawingml/2006/main">
                <a:graphicData uri="http://schemas.microsoft.com/office/word/2010/wordprocessingShape">
                  <wps:wsp>
                    <wps:cNvSpPr txBox="1"/>
                    <wps:spPr>
                      <a:xfrm>
                        <a:off x="0" y="0"/>
                        <a:ext cx="3877310" cy="1002030"/>
                      </a:xfrm>
                      <a:prstGeom prst="rect"/>
                      <a:solidFill>
                        <a:srgbClr val="FFFFFF">
                          <a:alpha val="0"/>
                        </a:srgbClr>
                      </a:solidFill>
                    </wps:spPr>
                    <wps:txbx>
                      <w:txbxContent>
                        <w:p>
                          <w:pPr>
                            <w:pStyle w:val="Normal"/>
                            <w:ind w:start="3600" w:end="0"/>
                            <w:rPr>
                              <w:b/>
                              <w:sz w:val="32"/>
                            </w:rPr>
                          </w:pPr>
                          <w:r>
                            <w:rPr>
                              <w:b/>
                              <w:sz w:val="32"/>
                            </w:rPr>
                            <w:t>ConfidentialMemorandum</w:t>
                          </w:r>
                        </w:p>
                      </w:txbxContent>
                    </wps:txbx>
                    <wps:bodyPr anchor="t" lIns="0" tIns="0" rIns="0" bIns="0">
                      <a:noAutofit/>
                    </wps:bodyPr>
                  </wps:wsp>
                </a:graphicData>
              </a:graphic>
            </wp:anchor>
          </w:drawing>
        </mc:Choice>
        <mc:Fallback>
          <w:pict>
            <v:rect fillcolor="#FFFFFF" style="position:absolute;rotation:-0;width:305.3pt;height:78.9pt;mso-wrap-distance-left:9.35pt;mso-wrap-distance-right:9.35pt;mso-wrap-distance-top:0pt;mso-wrap-distance-bottom:0pt;margin-top:0.05pt;mso-position-vertical-relative:text;margin-left:201.3pt;mso-position-horizontal-relative:page">
              <v:fill opacity="0f"/>
              <v:textbox inset="0in,0in,0in,0in">
                <w:txbxContent>
                  <w:p>
                    <w:pPr>
                      <w:pStyle w:val="Normal"/>
                      <w:ind w:start="3600" w:end="0"/>
                      <w:rPr>
                        <w:b/>
                        <w:sz w:val="32"/>
                      </w:rPr>
                    </w:pPr>
                    <w:r>
                      <w:rPr>
                        <w:b/>
                        <w:sz w:val="32"/>
                      </w:rPr>
                      <w:t>ConfidentialMemorandum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2000-04-12T11:28:00Z</dcterms:created>
  <dc:creator>Jeff Ford</dc:creator>
  <dc:description/>
  <dc:language>en-CA</dc:language>
  <cp:lastModifiedBy>Paul Kaufman</cp:lastModifiedBy>
  <cp:lastPrinted>2000-04-03T08:51:00Z</cp:lastPrinted>
  <dcterms:modified xsi:type="dcterms:W3CDTF">2000-04-12T11:28:00Z</dcterms:modified>
  <cp:revision>2</cp:revision>
  <dc:subject>Comments on Load Forecasting/Data Requirements Proposed Regulations</dc:subject>
  <dc:title>Eron Capital &amp; Trade Resources Memo</dc:title>
</cp:coreProperties>
</file>