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w:ascii="Arial" w:hAnsi="Arial"/>
          <w:u w:val="single"/>
        </w:rPr>
        <w:t>Question No. 4</w:t>
      </w:r>
      <w:r>
        <w:rPr>
          <w:rFonts w:cs="Arial" w:ascii="Arial" w:hAnsi="Arial"/>
        </w:rPr>
        <w:t>:</w:t>
        <w:tab/>
        <w:t xml:space="preserve">How frequent are constraints at the 20 proposed pooling areas.  What is the volume of gas that may be received at these points? </w:t>
      </w:r>
    </w:p>
    <w:p>
      <w:pPr>
        <w:pStyle w:val="Normal"/>
        <w:ind w:start="360" w:end="0"/>
        <w:jc w:val="both"/>
        <w:rPr>
          <w:rFonts w:ascii="Arial" w:hAnsi="Arial" w:cs="Arial"/>
        </w:rPr>
      </w:pPr>
      <w:r>
        <w:rPr>
          <w:rFonts w:cs="Arial" w:ascii="Arial" w:hAnsi="Arial"/>
        </w:rPr>
      </w:r>
    </w:p>
    <w:p>
      <w:pPr>
        <w:pStyle w:val="Normal"/>
        <w:jc w:val="both"/>
        <w:rPr/>
      </w:pPr>
      <w:r>
        <w:rPr>
          <w:rFonts w:cs="Arial" w:ascii="Arial" w:hAnsi="Arial"/>
          <w:u w:val="single"/>
        </w:rPr>
        <w:t>Response No. 4</w:t>
      </w:r>
      <w:r>
        <w:rPr>
          <w:rFonts w:cs="Arial" w:ascii="Arial" w:hAnsi="Arial"/>
        </w:rPr>
        <w:t>:</w:t>
        <w:tab/>
        <w:t>In order to answer this question, El Paso looked at allocations that were made in the scheduling process over the past twelve calendar months due to constraints at the locations that serve as the downstream boundaries of the proposed 20 pooling areas.  The figures contained in the table below, however, are not indicative of the constraints that would be experienced under El Paso's proposed method because a substantial majority of the incidents of capacity allocation that are identified thereon were the result of shippers using the systemwide receipt point flexibility currently available to them to nominate gas from preferred gas sources.  Once the allocation of primary receipt rights is completed and systemwide receipt points eliminated, the incidents of allocations at these potential constraint points will be drastically reduced.  The attached schedule lists the receipt points within each proposed pooling area, the design limit for each point and the maximum quantity scheduled at the receipt point during a recent 12-month period.</w:t>
      </w:r>
    </w:p>
    <w:p>
      <w:pPr>
        <w:pStyle w:val="Normal"/>
        <w:rPr>
          <w:rFonts w:ascii="Arial" w:hAnsi="Arial" w:cs="Arial"/>
        </w:rPr>
      </w:pPr>
      <w:r>
        <w:rPr>
          <w:rFonts w:cs="Arial" w:ascii="Arial" w:hAnsi="Arial"/>
        </w:rPr>
      </w:r>
    </w:p>
    <w:tbl>
      <w:tblPr>
        <w:tblW w:w="8360" w:type="dxa"/>
        <w:jc w:val="start"/>
        <w:tblInd w:w="0" w:type="dxa"/>
        <w:tblLayout w:type="fixed"/>
        <w:tblCellMar>
          <w:top w:w="0" w:type="dxa"/>
          <w:start w:w="54" w:type="dxa"/>
          <w:bottom w:w="0" w:type="dxa"/>
          <w:end w:w="54" w:type="dxa"/>
        </w:tblCellMar>
      </w:tblPr>
      <w:tblGrid>
        <w:gridCol w:w="2394"/>
        <w:gridCol w:w="1667"/>
        <w:gridCol w:w="2313"/>
        <w:gridCol w:w="993"/>
        <w:gridCol w:w="993"/>
      </w:tblGrid>
      <w:tr>
        <w:trPr>
          <w:trHeight w:val="1140" w:hRule="atLeast"/>
        </w:trPr>
        <w:tc>
          <w:tcPr>
            <w:tcW w:w="2394" w:type="dxa"/>
            <w:tcBorders>
              <w:end w:val="single" w:sz="4" w:space="0" w:color="000000"/>
            </w:tcBorders>
          </w:tcPr>
          <w:p>
            <w:pPr>
              <w:pStyle w:val="Normal"/>
              <w:widowControl w:val="false"/>
              <w:autoSpaceDE w:val="false"/>
              <w:snapToGrid w:val="false"/>
              <w:rPr>
                <w:rFonts w:ascii="Arial" w:hAnsi="Arial" w:cs="Arial"/>
                <w:b/>
                <w:bCs/>
                <w:sz w:val="20"/>
                <w:szCs w:val="20"/>
              </w:rPr>
            </w:pPr>
            <w:r>
              <w:rPr>
                <w:rFonts w:cs="Arial" w:ascii="Arial" w:hAnsi="Arial"/>
                <w:b/>
                <w:bCs/>
                <w:sz w:val="20"/>
                <w:szCs w:val="20"/>
              </w:rPr>
            </w:r>
          </w:p>
        </w:tc>
        <w:tc>
          <w:tcPr>
            <w:tcW w:w="1667" w:type="dxa"/>
            <w:tcBorders>
              <w:top w:val="single" w:sz="4" w:space="0" w:color="000000"/>
              <w:start w:val="single" w:sz="4" w:space="0" w:color="000000"/>
              <w:bottom w:val="single" w:sz="6" w:space="0" w:color="000000"/>
              <w:end w:val="single" w:sz="6" w:space="0" w:color="000000"/>
            </w:tcBorders>
          </w:tcPr>
          <w:p>
            <w:pPr>
              <w:pStyle w:val="Normal"/>
              <w:widowControl w:val="false"/>
              <w:autoSpaceDE w:val="false"/>
              <w:jc w:val="center"/>
              <w:rPr>
                <w:rFonts w:ascii="Arial" w:hAnsi="Arial" w:cs="Arial"/>
                <w:sz w:val="16"/>
                <w:szCs w:val="16"/>
              </w:rPr>
            </w:pPr>
            <w:r>
              <w:rPr>
                <w:rFonts w:cs="Arial" w:ascii="Arial" w:hAnsi="Arial"/>
                <w:sz w:val="16"/>
                <w:szCs w:val="16"/>
              </w:rPr>
              <w:t>Pooling Area</w:t>
            </w:r>
          </w:p>
        </w:tc>
        <w:tc>
          <w:tcPr>
            <w:tcW w:w="2313" w:type="dxa"/>
            <w:tcBorders>
              <w:top w:val="single" w:sz="4" w:space="0" w:color="000000"/>
              <w:start w:val="single" w:sz="6" w:space="0" w:color="000000"/>
              <w:bottom w:val="single" w:sz="6" w:space="0" w:color="000000"/>
              <w:end w:val="single" w:sz="6" w:space="0" w:color="000000"/>
            </w:tcBorders>
          </w:tcPr>
          <w:p>
            <w:pPr>
              <w:pStyle w:val="Normal"/>
              <w:widowControl w:val="false"/>
              <w:autoSpaceDE w:val="false"/>
              <w:jc w:val="center"/>
              <w:rPr>
                <w:rFonts w:ascii="Arial" w:hAnsi="Arial" w:cs="Arial"/>
                <w:sz w:val="16"/>
                <w:szCs w:val="16"/>
              </w:rPr>
            </w:pPr>
            <w:r>
              <w:rPr>
                <w:rFonts w:cs="Arial" w:ascii="Arial" w:hAnsi="Arial"/>
                <w:sz w:val="16"/>
                <w:szCs w:val="16"/>
              </w:rPr>
              <w:t xml:space="preserve">Number of scheduling cycles August 1, 2000 through July 31, 2001 when confirmed nominations (FT and IT) exceeded capacity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1</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Blanco</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287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jc w:val="end"/>
              <w:rPr>
                <w:rFonts w:ascii="Arial" w:hAnsi="Arial" w:cs="Arial"/>
                <w:b/>
                <w:bCs/>
                <w:color w:val="FF0000"/>
                <w:sz w:val="20"/>
                <w:szCs w:val="20"/>
              </w:rPr>
            </w:pPr>
            <w:r>
              <w:rPr>
                <w:rFonts w:cs="Arial" w:ascii="Arial" w:hAnsi="Arial"/>
                <w:b/>
                <w:bCs/>
                <w:color w:val="FF0000"/>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2</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Bondad Mainline</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1,354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jc w:val="end"/>
              <w:rPr>
                <w:rFonts w:ascii="Arial" w:hAnsi="Arial" w:cs="Arial"/>
                <w:b/>
                <w:bCs/>
                <w:sz w:val="20"/>
                <w:szCs w:val="20"/>
              </w:rPr>
            </w:pPr>
            <w:r>
              <w:rPr>
                <w:rFonts w:cs="Arial" w:ascii="Arial" w:hAnsi="Arial"/>
                <w:b/>
                <w:bCs/>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3</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Bondad Station</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564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4</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Cornudas</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5</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Dimmit</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6</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Dumas</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7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7</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Eunice</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815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8</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Golds</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986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9</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Keystone</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1,158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10</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Laguna</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11</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Midkiff</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12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12</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Monument</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3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13</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Pecos</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1,262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14</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Plains</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1,343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15</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Puckett</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122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16</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Rio Vista</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95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17</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Shafer</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18</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Sweet Peck</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1,209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19</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Waha</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1,220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rHeight w:val="270" w:hRule="atLeast"/>
        </w:trPr>
        <w:tc>
          <w:tcPr>
            <w:tcW w:w="2394" w:type="dxa"/>
            <w:tcBorders>
              <w:end w:val="single" w:sz="4" w:space="0" w:color="000000"/>
            </w:tcBorders>
          </w:tcPr>
          <w:p>
            <w:pPr>
              <w:pStyle w:val="Normal"/>
              <w:widowControl w:val="false"/>
              <w:autoSpaceDE w:val="false"/>
              <w:jc w:val="end"/>
              <w:rPr>
                <w:rFonts w:ascii="Arial" w:hAnsi="Arial" w:cs="Arial"/>
                <w:sz w:val="16"/>
                <w:szCs w:val="20"/>
              </w:rPr>
            </w:pPr>
            <w:r>
              <w:rPr>
                <w:rFonts w:cs="Arial" w:ascii="Arial" w:hAnsi="Arial"/>
                <w:sz w:val="16"/>
                <w:szCs w:val="20"/>
              </w:rPr>
              <w:t>20</w:t>
            </w:r>
          </w:p>
        </w:tc>
        <w:tc>
          <w:tcPr>
            <w:tcW w:w="1667" w:type="dxa"/>
            <w:tcBorders>
              <w:top w:val="single" w:sz="6" w:space="0" w:color="000000"/>
              <w:start w:val="single" w:sz="4" w:space="0" w:color="000000"/>
              <w:bottom w:val="single" w:sz="6" w:space="0" w:color="000000"/>
              <w:end w:val="single" w:sz="6" w:space="0" w:color="000000"/>
            </w:tcBorders>
          </w:tcPr>
          <w:p>
            <w:pPr>
              <w:pStyle w:val="Normal"/>
              <w:widowControl w:val="false"/>
              <w:autoSpaceDE w:val="false"/>
              <w:rPr>
                <w:rFonts w:ascii="Arial" w:hAnsi="Arial" w:cs="Arial"/>
                <w:sz w:val="16"/>
                <w:szCs w:val="16"/>
              </w:rPr>
            </w:pPr>
            <w:r>
              <w:rPr>
                <w:rFonts w:cs="Arial" w:ascii="Arial" w:hAnsi="Arial"/>
                <w:sz w:val="16"/>
                <w:szCs w:val="16"/>
              </w:rPr>
              <w:t xml:space="preserve">McCamey </w:t>
            </w:r>
          </w:p>
        </w:tc>
        <w:tc>
          <w:tcPr>
            <w:tcW w:w="23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ind w:end="866"/>
              <w:jc w:val="end"/>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 xml:space="preserve">- </w:t>
            </w:r>
          </w:p>
        </w:tc>
        <w:tc>
          <w:tcPr>
            <w:tcW w:w="993" w:type="dxa"/>
            <w:tcBorders>
              <w:start w:val="single" w:sz="4"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c>
          <w:tcPr>
            <w:tcW w:w="993" w:type="dxa"/>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bl>
    <w:p>
      <w:pPr>
        <w:pStyle w:val="BodyTextIndent"/>
        <w:rPr/>
      </w:pPr>
      <w:r>
        <w:rPr/>
        <w:tab/>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jc w:val="center"/>
      <w:rPr>
        <w:b w:val="false"/>
        <w:bCs w:val="false"/>
        <w:sz w:val="24"/>
      </w:rPr>
    </w:pPr>
    <w:r>
      <w:rPr>
        <w:b w:val="false"/>
        <w:bCs w:val="false"/>
        <w:sz w:val="24"/>
      </w:rPr>
      <w:t xml:space="preserve">El Paso Natural Gas Company </w:t>
    </w:r>
  </w:p>
  <w:p>
    <w:pPr>
      <w:pStyle w:val="Heading1"/>
      <w:jc w:val="center"/>
      <w:rPr>
        <w:b w:val="false"/>
        <w:bCs w:val="false"/>
        <w:sz w:val="24"/>
      </w:rPr>
    </w:pPr>
    <w:r>
      <w:rPr>
        <w:b w:val="false"/>
        <w:bCs w:val="false"/>
        <w:sz w:val="24"/>
      </w:rPr>
      <w:t>Responses to Questions Raised at</w:t>
    </w:r>
  </w:p>
  <w:p>
    <w:pPr>
      <w:pStyle w:val="Normal"/>
      <w:jc w:val="center"/>
      <w:rPr>
        <w:rFonts w:ascii="Arial" w:hAnsi="Arial" w:cs="Arial"/>
      </w:rPr>
    </w:pPr>
    <w:r>
      <w:rPr>
        <w:rFonts w:cs="Arial" w:ascii="Arial" w:hAnsi="Arial"/>
      </w:rPr>
      <w:t>Docket No. RP00-336-000, et al. Technical Conference</w:t>
    </w:r>
  </w:p>
  <w:p>
    <w:pPr>
      <w:pStyle w:val="Head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180" w:end="0"/>
      <w:outlineLvl w:val="0"/>
    </w:pPr>
    <w:rPr>
      <w:rFonts w:ascii="Arial" w:hAnsi="Arial" w:eastAsia="Arial Unicode MS" w:cs="Arial"/>
      <w:b/>
      <w:bCs/>
      <w:sz w:val="28"/>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360" w:start="360" w:end="0"/>
    </w:pPr>
    <w:rPr>
      <w:rFonts w:ascii="Arial" w:hAnsi="Arial" w:cs="Arial"/>
    </w:rPr>
  </w:style>
  <w:style w:type="paragraph" w:styleId="CommentText">
    <w:name w:val="Comment Text"/>
    <w:basedOn w:val="Normal"/>
    <w:qFormat/>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2001-08-22T19:44:00Z</dcterms:created>
  <dc:creator>El Paso Energy Corp</dc:creator>
  <dc:description/>
  <dc:language>en-CA</dc:language>
  <cp:lastModifiedBy>El Paso Energy Corp</cp:lastModifiedBy>
  <dcterms:modified xsi:type="dcterms:W3CDTF">2001-08-22T19:50:00Z</dcterms:modified>
  <cp:revision>3</cp:revision>
  <dc:subject/>
  <dc:title>Question No</dc:title>
</cp:coreProperties>
</file>