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Title"/>
        <w:widowControl/>
        <w:bidi w:val="0"/>
        <w:spacing w:lineRule="exact" w:line="560" w:before="3000" w:after="0"/>
        <w:jc w:val="center"/>
        <w:rPr/>
      </w:pPr>
      <w:r>
        <w:rPr/>
      </w:r>
      <w:r>
        <w:rPr/>
        <w:t>PACIFIC GAS AND ELECTRIC COMPANY</w:t>
        <w:br/>
        <w:t xml:space="preserve">CHAPTER </w:t>
      </w:r>
      <w:r>
        <w:rPr/>
        <w:fldChar w:fldCharType="begin"/>
      </w:r>
      <w:r>
        <w:rPr/>
        <w:instrText xml:space="preserve"> SEQ chap \* ARABIC </w:instrText>
      </w:r>
      <w:r>
        <w:rPr/>
        <w:fldChar w:fldCharType="separate"/>
      </w:r>
      <w:r>
        <w:rPr/>
        <w:t>1</w:t>
      </w:r>
      <w:r>
        <w:rPr/>
        <w:fldChar w:fldCharType="end"/>
      </w:r>
      <w:r>
        <w:rPr/>
        <w:br/>
        <w:t>ANALYSIS OF TURN’S ACCOUNTING PROPOSAL</w:t>
      </w:r>
    </w:p>
    <w:p>
      <w:pPr>
        <w:sectPr>
          <w:type w:val="nextPage"/>
          <w:pgSz w:w="12240" w:h="15840"/>
          <w:pgMar w:left="1440" w:right="1440" w:gutter="360" w:header="0" w:top="1008" w:footer="0" w:bottom="720"/>
          <w:lnNumType w:countBy="1" w:restart="newPage" w:distance="283"/>
          <w:pgNumType w:fmt="decimal"/>
          <w:formProt w:val="false"/>
          <w:textDirection w:val="lrTb"/>
        </w:sectPr>
        <w:pStyle w:val="CoverTitle"/>
        <w:rPr/>
      </w:pPr>
      <w:r>
        <w:rPr/>
      </w:r>
    </w:p>
    <w:p>
      <w:pPr>
        <w:pStyle w:val="TOCTitle"/>
        <w:rPr/>
      </w:pPr>
      <w:r>
        <w:rPr/>
        <w:t>PACIFIC GAS AND ELECTRIC COMPANY</w:t>
        <w:br/>
        <w:t xml:space="preserve">CHAPTER </w:t>
      </w:r>
      <w:r>
        <w:rPr/>
        <w:fldChar w:fldCharType="begin"/>
      </w:r>
      <w:r>
        <w:rPr/>
        <w:instrText xml:space="preserve"> SEQ chap \* ARABIC </w:instrText>
      </w:r>
      <w:r>
        <w:rPr/>
        <w:fldChar w:fldCharType="separate"/>
      </w:r>
      <w:r>
        <w:rPr/>
        <w:t>1</w:t>
      </w:r>
      <w:r>
        <w:rPr/>
        <w:fldChar w:fldCharType="end"/>
      </w:r>
      <w:r>
        <w:rPr/>
        <w:br/>
        <w:t>ANALYSIS OF TURN’S ACCOUNTING PROPOSAL</w:t>
        <w:br/>
        <w:br/>
        <w:t>TABLE OF CONTENTS</w:t>
      </w:r>
    </w:p>
    <w:sdt>
      <w:sdtPr>
        <w:docPartObj>
          <w:docPartGallery w:val="Table of Contents"/>
          <w:docPartUnique w:val="true"/>
        </w:docPartObj>
      </w:sdtPr>
      <w:sdtContent>
        <w:p>
          <w:pPr>
            <w:pStyle w:val="TOC1"/>
            <w:tabs>
              <w:tab w:val="left" w:pos="720" w:leader="none"/>
              <w:tab w:val="right" w:pos="9000" w:leader="dot"/>
            </w:tabs>
            <w:rPr>
              <w:rFonts w:ascii="Times New Roman" w:hAnsi="Times New Roman" w:eastAsia="Times New Roman" w:cs="Times New Roman"/>
              <w:lang w:val="en-CA"/>
            </w:rPr>
          </w:pPr>
          <w:r>
            <w:fldChar w:fldCharType="begin"/>
          </w:r>
          <w:r>
            <w:rPr>
              <w:lang w:val="en-CA"/>
            </w:rPr>
            <w:instrText xml:space="preserve"> TOC \o "1-4" \s chap </w:instrText>
          </w:r>
          <w:r>
            <w:rPr>
              <w:lang w:val="en-CA"/>
            </w:rPr>
            <w:fldChar w:fldCharType="separate"/>
          </w:r>
          <w:r>
            <w:rPr>
              <w:lang w:val="en-CA"/>
            </w:rPr>
            <w:t>A.</w:t>
          </w:r>
          <w:r>
            <w:rPr>
              <w:rFonts w:eastAsia="Times New Roman" w:cs="Times New Roman" w:ascii="Times New Roman" w:hAnsi="Times New Roman"/>
              <w:lang w:val="en-CA"/>
            </w:rPr>
            <w:tab/>
          </w:r>
          <w:r>
            <w:rPr>
              <w:lang w:val="en-CA"/>
            </w:rPr>
            <w:t>Introduction</w:t>
            <w:tab/>
          </w:r>
          <w:r>
            <w:rPr>
              <w:lang w:val="en-CA"/>
            </w:rPr>
            <w:fldChar w:fldCharType="begin"/>
          </w:r>
          <w:r>
            <w:rPr>
              <w:lang w:val="en-CA"/>
            </w:rPr>
            <w:instrText xml:space="preserve"> SEQ chap \* ARABIC </w:instrText>
          </w:r>
          <w:r>
            <w:rPr>
              <w:lang w:val="en-CA"/>
            </w:rPr>
            <w:fldChar w:fldCharType="separate"/>
          </w:r>
          <w:r>
            <w:rPr>
              <w:lang w:val="en-CA"/>
            </w:rPr>
            <w:t>2</w:t>
          </w:r>
          <w:r>
            <w:rPr>
              <w:lang w:val="en-CA"/>
            </w:rPr>
            <w:fldChar w:fldCharType="end"/>
          </w:r>
          <w:r>
            <w:rPr>
              <w:lang w:val="en-CA"/>
            </w:rPr>
            <w:t>-</w:t>
          </w:r>
          <w:hyperlink w:anchor="__RefHeading___Toc498416807">
            <w:r>
              <w:rPr>
                <w:rStyle w:val="IndexLink"/>
                <w:lang w:val="en-CA"/>
              </w:rPr>
              <w:t>1</w:t>
            </w:r>
          </w:hyperlink>
        </w:p>
        <w:p>
          <w:pPr>
            <w:pStyle w:val="TOC1"/>
            <w:tabs>
              <w:tab w:val="left" w:pos="720" w:leader="none"/>
              <w:tab w:val="right" w:pos="9000" w:leader="dot"/>
            </w:tabs>
            <w:rPr>
              <w:rFonts w:ascii="Times New Roman" w:hAnsi="Times New Roman" w:eastAsia="Times New Roman" w:cs="Times New Roman"/>
              <w:lang w:val="en-CA"/>
            </w:rPr>
          </w:pPr>
          <w:r>
            <w:rPr>
              <w:lang w:val="en-CA"/>
            </w:rPr>
            <w:t>B.</w:t>
          </w:r>
          <w:r>
            <w:rPr>
              <w:rFonts w:eastAsia="Times New Roman" w:cs="Times New Roman" w:ascii="Times New Roman" w:hAnsi="Times New Roman"/>
              <w:lang w:val="en-CA"/>
            </w:rPr>
            <w:tab/>
          </w:r>
          <w:r>
            <w:rPr>
              <w:lang w:val="en-CA"/>
            </w:rPr>
            <w:t>PG&amp;E’s Accounting Proposal</w:t>
            <w:tab/>
          </w:r>
          <w:r>
            <w:rPr>
              <w:lang w:val="en-CA"/>
            </w:rPr>
            <w:fldChar w:fldCharType="begin"/>
          </w:r>
          <w:r>
            <w:rPr>
              <w:lang w:val="en-CA"/>
            </w:rPr>
            <w:instrText xml:space="preserve"> SEQ chap \* ARABIC </w:instrText>
          </w:r>
          <w:r>
            <w:rPr>
              <w:lang w:val="en-CA"/>
            </w:rPr>
            <w:fldChar w:fldCharType="separate"/>
          </w:r>
          <w:r>
            <w:rPr>
              <w:lang w:val="en-CA"/>
            </w:rPr>
            <w:t>3</w:t>
          </w:r>
          <w:r>
            <w:rPr>
              <w:lang w:val="en-CA"/>
            </w:rPr>
            <w:fldChar w:fldCharType="end"/>
          </w:r>
          <w:r>
            <w:rPr>
              <w:lang w:val="en-CA"/>
            </w:rPr>
            <w:t>-</w:t>
          </w:r>
          <w:hyperlink w:anchor="__RefHeading___Toc498416808">
            <w:r>
              <w:rPr>
                <w:rStyle w:val="IndexLink"/>
                <w:lang w:val="en-CA"/>
              </w:rPr>
              <w:t>3</w:t>
            </w:r>
          </w:hyperlink>
        </w:p>
        <w:p>
          <w:pPr>
            <w:pStyle w:val="TOC1"/>
            <w:tabs>
              <w:tab w:val="left" w:pos="720" w:leader="none"/>
              <w:tab w:val="right" w:pos="9000" w:leader="dot"/>
            </w:tabs>
            <w:rPr>
              <w:rFonts w:ascii="Times New Roman" w:hAnsi="Times New Roman" w:eastAsia="Times New Roman" w:cs="Times New Roman"/>
              <w:lang w:val="en-CA"/>
            </w:rPr>
          </w:pPr>
          <w:r>
            <w:rPr>
              <w:lang w:val="en-CA"/>
            </w:rPr>
            <w:t>C.</w:t>
          </w:r>
          <w:r>
            <w:rPr>
              <w:rFonts w:eastAsia="Times New Roman" w:cs="Times New Roman" w:ascii="Times New Roman" w:hAnsi="Times New Roman"/>
              <w:lang w:val="en-CA"/>
            </w:rPr>
            <w:tab/>
          </w:r>
          <w:r>
            <w:rPr>
              <w:lang w:val="en-CA"/>
            </w:rPr>
            <w:t>PG&amp;E Does Not Have Other Revenue to Cover Wholesale Power Costs</w:t>
            <w:tab/>
          </w:r>
          <w:r>
            <w:rPr>
              <w:lang w:val="en-CA"/>
            </w:rPr>
            <w:fldChar w:fldCharType="begin"/>
          </w:r>
          <w:r>
            <w:rPr>
              <w:lang w:val="en-CA"/>
            </w:rPr>
            <w:instrText xml:space="preserve"> SEQ chap \* ARABIC </w:instrText>
          </w:r>
          <w:r>
            <w:rPr>
              <w:lang w:val="en-CA"/>
            </w:rPr>
            <w:fldChar w:fldCharType="separate"/>
          </w:r>
          <w:r>
            <w:rPr>
              <w:lang w:val="en-CA"/>
            </w:rPr>
            <w:t>4</w:t>
          </w:r>
          <w:r>
            <w:rPr>
              <w:lang w:val="en-CA"/>
            </w:rPr>
            <w:fldChar w:fldCharType="end"/>
          </w:r>
          <w:r>
            <w:rPr>
              <w:lang w:val="en-CA"/>
            </w:rPr>
            <w:t>-</w:t>
          </w:r>
          <w:hyperlink w:anchor="__RefHeading___Toc498416809">
            <w:r>
              <w:rPr>
                <w:rStyle w:val="IndexLink"/>
                <w:lang w:val="en-CA"/>
              </w:rPr>
              <w:t>3</w:t>
            </w:r>
          </w:hyperlink>
        </w:p>
        <w:p>
          <w:pPr>
            <w:pStyle w:val="TOC1"/>
            <w:tabs>
              <w:tab w:val="left" w:pos="720" w:leader="none"/>
              <w:tab w:val="right" w:pos="9000" w:leader="dot"/>
            </w:tabs>
            <w:rPr>
              <w:rFonts w:ascii="Times New Roman" w:hAnsi="Times New Roman" w:eastAsia="Times New Roman" w:cs="Times New Roman"/>
              <w:lang w:val="en-CA"/>
            </w:rPr>
          </w:pPr>
          <w:r>
            <w:rPr>
              <w:lang w:val="en-CA"/>
            </w:rPr>
            <w:t>D.</w:t>
          </w:r>
          <w:r>
            <w:rPr>
              <w:rFonts w:eastAsia="Times New Roman" w:cs="Times New Roman" w:ascii="Times New Roman" w:hAnsi="Times New Roman"/>
              <w:lang w:val="en-CA"/>
            </w:rPr>
            <w:tab/>
          </w:r>
          <w:r>
            <w:rPr>
              <w:lang w:val="en-CA"/>
            </w:rPr>
            <w:t>Above Market Revenues Are a Fraction of the Energy Costs</w:t>
            <w:tab/>
          </w:r>
          <w:r>
            <w:rPr>
              <w:lang w:val="en-CA"/>
            </w:rPr>
            <w:fldChar w:fldCharType="begin"/>
          </w:r>
          <w:r>
            <w:rPr>
              <w:lang w:val="en-CA"/>
            </w:rPr>
            <w:instrText xml:space="preserve"> SEQ chap \* ARABIC </w:instrText>
          </w:r>
          <w:r>
            <w:rPr>
              <w:lang w:val="en-CA"/>
            </w:rPr>
            <w:fldChar w:fldCharType="separate"/>
          </w:r>
          <w:r>
            <w:rPr>
              <w:lang w:val="en-CA"/>
            </w:rPr>
            <w:t>5</w:t>
          </w:r>
          <w:r>
            <w:rPr>
              <w:lang w:val="en-CA"/>
            </w:rPr>
            <w:fldChar w:fldCharType="end"/>
          </w:r>
          <w:r>
            <w:rPr>
              <w:lang w:val="en-CA"/>
            </w:rPr>
            <w:t>-</w:t>
          </w:r>
          <w:hyperlink w:anchor="__RefHeading___Toc498416810">
            <w:r>
              <w:rPr>
                <w:rStyle w:val="IndexLink"/>
                <w:lang w:val="en-CA"/>
              </w:rPr>
              <w:t>5</w:t>
            </w:r>
          </w:hyperlink>
        </w:p>
        <w:p>
          <w:pPr>
            <w:pStyle w:val="TOC1"/>
            <w:tabs>
              <w:tab w:val="left" w:pos="720" w:leader="none"/>
              <w:tab w:val="right" w:pos="9000" w:leader="dot"/>
            </w:tabs>
            <w:rPr>
              <w:rFonts w:ascii="Times New Roman" w:hAnsi="Times New Roman" w:eastAsia="Times New Roman" w:cs="Times New Roman"/>
              <w:lang w:val="en-CA"/>
            </w:rPr>
          </w:pPr>
          <w:r>
            <w:rPr>
              <w:lang w:val="en-CA"/>
            </w:rPr>
            <w:t>E.</w:t>
          </w:r>
          <w:r>
            <w:rPr>
              <w:rFonts w:eastAsia="Times New Roman" w:cs="Times New Roman" w:ascii="Times New Roman" w:hAnsi="Times New Roman"/>
              <w:lang w:val="en-CA"/>
            </w:rPr>
            <w:tab/>
          </w:r>
          <w:r>
            <w:rPr>
              <w:lang w:val="en-CA"/>
            </w:rPr>
            <w:t>Conclusion</w:t>
            <w:tab/>
          </w:r>
          <w:r>
            <w:rPr>
              <w:lang w:val="en-CA"/>
            </w:rPr>
            <w:fldChar w:fldCharType="begin"/>
          </w:r>
          <w:r>
            <w:rPr>
              <w:lang w:val="en-CA"/>
            </w:rPr>
            <w:instrText xml:space="preserve"> SEQ chap \* ARABIC </w:instrText>
          </w:r>
          <w:r>
            <w:rPr>
              <w:lang w:val="en-CA"/>
            </w:rPr>
            <w:fldChar w:fldCharType="separate"/>
          </w:r>
          <w:r>
            <w:rPr>
              <w:lang w:val="en-CA"/>
            </w:rPr>
            <w:t>6</w:t>
          </w:r>
          <w:r>
            <w:rPr>
              <w:lang w:val="en-CA"/>
            </w:rPr>
            <w:fldChar w:fldCharType="end"/>
          </w:r>
          <w:r>
            <w:rPr>
              <w:lang w:val="en-CA"/>
            </w:rPr>
            <w:t>-</w:t>
          </w:r>
          <w:hyperlink w:anchor="__RefHeading___Toc498416811">
            <w:r>
              <w:rPr>
                <w:rStyle w:val="IndexLink"/>
                <w:lang w:val="en-CA"/>
              </w:rPr>
              <w:t>6</w:t>
            </w:r>
          </w:hyperlink>
          <w:r>
            <w:rPr>
              <w:rStyle w:val="IndexLink"/>
              <w:lang w:val="en-CA"/>
            </w:rPr>
            <w:fldChar w:fldCharType="end"/>
          </w:r>
        </w:p>
      </w:sdtContent>
    </w:sdt>
    <w:p>
      <w:pPr>
        <w:sectPr>
          <w:headerReference w:type="default" r:id="rId2"/>
          <w:headerReference w:type="first" r:id="rId3"/>
          <w:footerReference w:type="default" r:id="rId4"/>
          <w:footerReference w:type="first" r:id="rId5"/>
          <w:type w:val="nextPage"/>
          <w:pgSz w:w="12240" w:h="15840"/>
          <w:pgMar w:left="1440" w:right="1440" w:gutter="360" w:header="720" w:top="1008" w:footer="432" w:bottom="1656"/>
          <w:lnNumType w:countBy="1" w:restart="newPage" w:distance="283"/>
          <w:pgNumType w:start="1" w:fmt="lowerRoman"/>
          <w:formProt w:val="false"/>
          <w:titlePg/>
          <w:textDirection w:val="lrTb"/>
        </w:sectPr>
        <w:pStyle w:val="Normal"/>
        <w:rPr>
          <w:rFonts w:ascii="Times New Roman" w:hAnsi="Times New Roman" w:eastAsia="Times New Roman" w:cs="Times New Roman"/>
          <w:lang w:val="en-CA"/>
        </w:rPr>
      </w:pPr>
      <w:r>
        <w:rPr>
          <w:rFonts w:eastAsia="Times New Roman" w:cs="Times New Roman" w:ascii="Times New Roman" w:hAnsi="Times New Roman"/>
          <w:lang w:val="en-CA"/>
        </w:rPr>
      </w:r>
    </w:p>
    <w:p>
      <w:pPr>
        <w:pStyle w:val="TITLE1"/>
        <w:rPr/>
      </w:pPr>
      <w:r>
        <w:rPr/>
        <w:t>PACIFIC GAS AND ELECTRIC COMPANY</w:t>
      </w:r>
    </w:p>
    <w:p>
      <w:pPr>
        <w:pStyle w:val="TITLE2"/>
        <w:rPr/>
      </w:pPr>
      <w:r>
        <w:rPr/>
        <w:t>CHAPTER 1</w:t>
      </w:r>
    </w:p>
    <w:p>
      <w:pPr>
        <w:pStyle w:val="TITLE3"/>
        <w:rPr/>
      </w:pPr>
      <w:r>
        <w:rPr/>
        <w:t>ANALYSIS OF TURN’S ACCOUNTING PROPOSAL</w:t>
      </w:r>
    </w:p>
    <w:p>
      <w:pPr>
        <w:pStyle w:val="Heading1"/>
        <w:tabs>
          <w:tab w:val="clear" w:pos="432"/>
          <w:tab w:val="left" w:pos="0" w:leader="none"/>
        </w:tabs>
        <w:ind w:hanging="864" w:start="864"/>
        <w:rPr/>
      </w:pPr>
      <w:bookmarkStart w:id="0" w:name="__RefHeading___Toc498416807"/>
      <w:bookmarkEnd w:id="0"/>
      <w:r>
        <w:rPr/>
        <w:t>Introduction</w:t>
      </w:r>
    </w:p>
    <w:p>
      <w:pPr>
        <w:pStyle w:val="Body1"/>
        <w:rPr/>
      </w:pPr>
      <w:r>
        <w:rPr/>
        <w:t>The purpose of this testimony is to explain PG&amp;E’s proposed accounting change in response to TURN’s proposal contained in its Petition for Modification of Resolution E-3527,</w:t>
      </w:r>
      <w:r>
        <w:rPr>
          <w:b/>
          <w:bCs/>
          <w:position w:val="6"/>
        </w:rPr>
        <w:t>[</w:t>
      </w:r>
      <w:r>
        <w:rPr>
          <w:rStyle w:val="FootnoteCharacters"/>
          <w:rStyle w:val="FootnoteReference"/>
        </w:rPr>
        <w:footnoteReference w:id="2"/>
      </w:r>
      <w:r>
        <w:rPr>
          <w:b/>
          <w:bCs/>
          <w:position w:val="6"/>
        </w:rPr>
        <w:t>]</w:t>
      </w:r>
      <w:r>
        <w:rPr/>
        <w:t xml:space="preserve"> and to place on the record factual information about PG&amp;E’s earnings, generation revenues and wholesale electric prices that help explain why TURN’s proposal does not solve PG&amp;E’s financing and cash flow problem created by extraordinary wholesale power costs.</w:t>
      </w:r>
    </w:p>
    <w:p>
      <w:pPr>
        <w:pStyle w:val="Body1"/>
        <w:rPr/>
      </w:pPr>
      <w:r>
        <w:rPr/>
        <w:t>Although PG&amp;E proposes an accounting change here that it believes meets the criteria outlined by the assigned Commissioner and Administrative Law Judge,</w:t>
      </w:r>
      <w:r>
        <w:rPr>
          <w:b/>
          <w:bCs/>
          <w:position w:val="6"/>
        </w:rPr>
        <w:t>[</w:t>
      </w:r>
      <w:r>
        <w:rPr>
          <w:rStyle w:val="FootnoteCharacters"/>
          <w:rStyle w:val="FootnoteReference"/>
        </w:rPr>
        <w:footnoteReference w:id="3"/>
      </w:r>
      <w:r>
        <w:rPr>
          <w:b/>
          <w:bCs/>
          <w:position w:val="6"/>
        </w:rPr>
        <w:t>]</w:t>
      </w:r>
      <w:r>
        <w:rPr/>
        <w:t xml:space="preserve"> it is important to understand that neither PG&amp;E’s proposal nor TURN’s proposal provide any solution, interim or otherwise, to PG&amp;E’s current financial situation.  No change in accounting can resolve the problem that PG&amp;E has costs significantly above current or future authorized revenues.</w:t>
      </w:r>
    </w:p>
    <w:p>
      <w:pPr>
        <w:pStyle w:val="Body1"/>
        <w:rPr/>
      </w:pPr>
      <w:r>
        <w:rPr/>
        <w:t xml:space="preserve">Only an increase in future revenues can pay off the debt PG&amp;E has incurred.  As PG&amp;E stated in its prehearing conference statement, and consistent with Commissioner Duque’s ruling of November 1, 2000, PG&amp;E plans to file an application for a rate stabilization plan that will increase revenues in a way that is sustainable for customers and PG&amp;E.   Only approval of such a plan can provide any relief to the current situation. </w:t>
      </w:r>
    </w:p>
    <w:p>
      <w:pPr>
        <w:pStyle w:val="Body1"/>
        <w:rPr/>
      </w:pPr>
      <w:r>
        <w:rPr/>
        <w:t>The other main points of this testimony are as follows:</w:t>
      </w:r>
    </w:p>
    <w:p>
      <w:pPr>
        <w:pStyle w:val="Bullet1"/>
        <w:numPr>
          <w:ilvl w:val="0"/>
          <w:numId w:val="3"/>
        </w:numPr>
        <w:tabs>
          <w:tab w:val="clear" w:pos="720"/>
          <w:tab w:val="left" w:pos="0" w:leader="none"/>
        </w:tabs>
        <w:ind w:hanging="864" w:start="1296"/>
        <w:rPr/>
      </w:pPr>
      <w:r>
        <w:rPr/>
        <w:t>PG&amp;E’s estimated TRA undercollection at the end of October 2000 is $3.4 billion, equal to all PG&amp;E’s utility earnings from 1996 to the present.</w:t>
      </w:r>
    </w:p>
    <w:p>
      <w:pPr>
        <w:pStyle w:val="Bullet1"/>
        <w:numPr>
          <w:ilvl w:val="0"/>
          <w:numId w:val="3"/>
        </w:numPr>
        <w:tabs>
          <w:tab w:val="clear" w:pos="720"/>
          <w:tab w:val="left" w:pos="0" w:leader="none"/>
        </w:tabs>
        <w:ind w:hanging="864" w:start="1296"/>
        <w:rPr/>
      </w:pPr>
      <w:r>
        <w:rPr/>
        <w:t>This is about $2.8 billion more than electric revenues, including above-market generation revenues; PG&amp;E is not aware of any other revenues available to pay these costs.</w:t>
      </w:r>
      <w:r>
        <w:rPr>
          <w:b/>
          <w:bCs/>
          <w:position w:val="6"/>
        </w:rPr>
        <w:t>[</w:t>
      </w:r>
      <w:r>
        <w:rPr>
          <w:rStyle w:val="FootnoteCharacters"/>
          <w:rStyle w:val="FootnoteReference"/>
        </w:rPr>
        <w:footnoteReference w:id="4"/>
      </w:r>
      <w:r>
        <w:rPr>
          <w:b/>
          <w:bCs/>
          <w:position w:val="6"/>
        </w:rPr>
        <w:t>]</w:t>
      </w:r>
    </w:p>
    <w:p>
      <w:pPr>
        <w:pStyle w:val="Bullet1"/>
        <w:numPr>
          <w:ilvl w:val="0"/>
          <w:numId w:val="3"/>
        </w:numPr>
        <w:tabs>
          <w:tab w:val="clear" w:pos="720"/>
          <w:tab w:val="left" w:pos="0" w:leader="none"/>
        </w:tabs>
        <w:ind w:hanging="864" w:start="1296"/>
        <w:rPr/>
      </w:pPr>
      <w:r>
        <w:rPr/>
        <w:t>PG&amp;E’s estimated TCBA overcollection at the end of October is only $674 million, less than 20 percent of the TRA balance.</w:t>
      </w:r>
    </w:p>
    <w:p>
      <w:pPr>
        <w:pStyle w:val="Bullet1"/>
        <w:numPr>
          <w:ilvl w:val="0"/>
          <w:numId w:val="3"/>
        </w:numPr>
        <w:tabs>
          <w:tab w:val="clear" w:pos="720"/>
          <w:tab w:val="left" w:pos="0" w:leader="none"/>
        </w:tabs>
        <w:ind w:hanging="864" w:start="1296"/>
        <w:rPr/>
      </w:pPr>
      <w:r>
        <w:rPr/>
        <w:t>PG&amp;E’s above-market generation revenues since May average less than 30 percent of wholesale power costs for the same period; this percentage is expected to decrease as qualifying facilities (QFs) switch to market prices.</w:t>
      </w:r>
    </w:p>
    <w:p>
      <w:pPr>
        <w:pStyle w:val="Bullet1"/>
        <w:numPr>
          <w:ilvl w:val="0"/>
          <w:numId w:val="3"/>
        </w:numPr>
        <w:tabs>
          <w:tab w:val="clear" w:pos="720"/>
          <w:tab w:val="left" w:pos="0" w:leader="none"/>
        </w:tabs>
        <w:ind w:hanging="864" w:start="1296"/>
        <w:rPr/>
      </w:pPr>
      <w:r>
        <w:rPr/>
        <w:t>As explained in other chapters in more detail, the financial community already “nets” these numbers in considering new debt for PG&amp;E;</w:t>
      </w:r>
    </w:p>
    <w:p>
      <w:pPr>
        <w:pStyle w:val="Bullet1"/>
        <w:numPr>
          <w:ilvl w:val="0"/>
          <w:numId w:val="3"/>
        </w:numPr>
        <w:tabs>
          <w:tab w:val="clear" w:pos="720"/>
          <w:tab w:val="left" w:pos="0" w:leader="none"/>
        </w:tabs>
        <w:ind w:hanging="864" w:start="1296"/>
        <w:rPr/>
      </w:pPr>
      <w:r>
        <w:rPr/>
        <w:t>In any case, the above-market generation revenues are a small fraction of the costs and do not provide any assurance of present or future revenues to repay PG&amp;E’s debt.</w:t>
      </w:r>
    </w:p>
    <w:p>
      <w:pPr>
        <w:pStyle w:val="Body1"/>
        <w:rPr/>
      </w:pPr>
      <w:r>
        <w:rPr/>
        <w:t>The following chapters explain in more detail the amount of financing PG&amp;E expects to incur to cover these wholesale power purchases and the criteria required by potential lenders.  As explained there, without assurance of new, future revenues sufficient to cover both PG&amp;E’s ongoing costs of business and to repay the debt incurred to purchase power, PG&amp;E will not be able to continue financing costs in excess of revenues.</w:t>
      </w:r>
    </w:p>
    <w:p>
      <w:pPr>
        <w:pStyle w:val="Body1"/>
        <w:rPr/>
      </w:pPr>
      <w:r>
        <w:rPr/>
        <w:t>The data provided in this chapter are intended to show that the above-market generation revenues currently accruing in PG&amp;E’s TCBA will not resolve PG&amp;E’s current financial crisis, even if the TRA undercollection were to be transferred into the TCBA.  The undercollection would be reduced by something less than 20 percent.  But there would still remain a huge and growing undercollection that requires financing.  Moving it to another account accomplishes nothing.</w:t>
      </w:r>
    </w:p>
    <w:p>
      <w:pPr>
        <w:pStyle w:val="Body1"/>
        <w:rPr/>
      </w:pPr>
      <w:r>
        <w:rPr/>
        <w:t>However, because the Commission has requested accounting proposals, PG&amp;E puts forth a proposal that it believes is legal and consistent with prior CPUC decisions, although not effective in solving PG&amp;E’s current problems.</w:t>
      </w:r>
    </w:p>
    <w:p>
      <w:pPr>
        <w:pStyle w:val="Heading1"/>
        <w:tabs>
          <w:tab w:val="clear" w:pos="432"/>
          <w:tab w:val="left" w:pos="0" w:leader="none"/>
        </w:tabs>
        <w:ind w:hanging="864" w:start="864"/>
        <w:rPr/>
      </w:pPr>
      <w:bookmarkStart w:id="1" w:name="__RefHeading___Toc498416808"/>
      <w:bookmarkEnd w:id="1"/>
      <w:r>
        <w:rPr/>
        <w:t>PG&amp;E’s Accounting Proposal</w:t>
      </w:r>
    </w:p>
    <w:p>
      <w:pPr>
        <w:pStyle w:val="Body1"/>
        <w:rPr/>
      </w:pPr>
      <w:r>
        <w:rPr/>
        <w:t>As discussed in more detail in PG&amp;E’s comments, also filed today, PG&amp;E completed recovery of its utility generation-related transition costs prior to August 31, 2000, in accordance with Commission decisions.  Although PG&amp;E has not yet calculated the exact date the transition period ended, because all transition costs were recovered and the TCBA was overcollected at the end of August, the actual end date was some time earlier.</w:t>
      </w:r>
    </w:p>
    <w:p>
      <w:pPr>
        <w:pStyle w:val="Body1"/>
        <w:rPr/>
      </w:pPr>
      <w:r>
        <w:rPr/>
        <w:t>Although the future of PG&amp;E’s retained generation facilities has not yet been determined, it is known now that some portion of the above-market generation revenues accruing in PG&amp;E’s TCBA and generation memorandum accounts can be credited against PG&amp;E’s TRA undercollection, based on several Commission decisions.  The actual amount of the credit that could be made against the TRA depends on a number of variables, including the final valuation of PG&amp;E’s remaining generation assets and the details of any revenue sharing associated with retained assets.  In its prehearing conference statement, PG&amp;E proposed creation of the Unrecovered Cost of Service Account (UCSA).  PG&amp;E proposes that the balance in the TRA be transferred to the UCSA, and that any undercollected current costs which have been recorded in the TRA be transferred monthly to the UCSA.</w:t>
      </w:r>
    </w:p>
    <w:p>
      <w:pPr>
        <w:pStyle w:val="Heading1"/>
        <w:tabs>
          <w:tab w:val="clear" w:pos="432"/>
          <w:tab w:val="left" w:pos="0" w:leader="none"/>
        </w:tabs>
        <w:ind w:hanging="864" w:start="864"/>
        <w:rPr/>
      </w:pPr>
      <w:bookmarkStart w:id="2" w:name="__RefHeading___Toc498416809"/>
      <w:r>
        <w:rPr/>
        <w:t>PG&amp;E Does Not Have Other Revenue to Cover Wholesale Power Costs</w:t>
      </w:r>
      <w:bookmarkEnd w:id="2"/>
      <w:r>
        <w:rPr/>
        <w:t xml:space="preserve"> </w:t>
      </w:r>
    </w:p>
    <w:p>
      <w:pPr>
        <w:pStyle w:val="Body1"/>
        <w:rPr/>
      </w:pPr>
      <w:r>
        <w:rPr/>
        <w:t>In the prehearing conference on TURN’s motion, ALJ Minkin questioned whether PG&amp;E had other revenues from another source that it could use to offset wholesale power costs.</w:t>
      </w:r>
      <w:r>
        <w:rPr>
          <w:b/>
          <w:bCs/>
          <w:position w:val="6"/>
        </w:rPr>
        <w:t>[</w:t>
      </w:r>
      <w:r>
        <w:rPr>
          <w:rStyle w:val="FootnoteCharacters"/>
          <w:rStyle w:val="FootnoteReference"/>
        </w:rPr>
        <w:footnoteReference w:id="5"/>
      </w:r>
      <w:r>
        <w:rPr>
          <w:b/>
          <w:bCs/>
          <w:position w:val="6"/>
        </w:rPr>
        <w:t>]</w:t>
      </w:r>
      <w:r>
        <w:rPr/>
        <w:t xml:space="preserve">  Other parties have stated that PG&amp;E may have enormous profits, sufficient to cover wholesale power costs.</w:t>
      </w:r>
      <w:r>
        <w:rPr>
          <w:b/>
          <w:bCs/>
          <w:position w:val="6"/>
        </w:rPr>
        <w:t>[</w:t>
      </w:r>
      <w:r>
        <w:rPr>
          <w:rStyle w:val="FootnoteCharacters"/>
          <w:rStyle w:val="FootnoteReference"/>
        </w:rPr>
        <w:footnoteReference w:id="6"/>
      </w:r>
      <w:r>
        <w:rPr>
          <w:b/>
          <w:bCs/>
          <w:position w:val="6"/>
        </w:rPr>
        <w:t>]</w:t>
      </w:r>
      <w:r>
        <w:rPr/>
        <w:t xml:space="preserve">  This is not the case.  Since June, wholesale power costs have exceeded PG&amp;E’s total billed electric revenues plus above-market generation revenues by about $2 billion.  </w:t>
      </w:r>
    </w:p>
    <w:p>
      <w:pPr>
        <w:pStyle w:val="Body1"/>
        <w:rPr/>
      </w:pPr>
      <w:r>
        <w:rPr/>
        <w:t>PG&amp;E’s return on equity (ROE) over the last 5 years, even with the inclusion of Diablo Canyon earnings, is less than the return authorized by the CPUC and FERC for distribution and transmission facilities.  The following table shows actual utility ROE compared to CPUC-authorized ROE.</w:t>
      </w:r>
      <w:r>
        <w:rPr>
          <w:b/>
          <w:bCs/>
          <w:position w:val="6"/>
        </w:rPr>
        <w:t>[</w:t>
      </w:r>
      <w:r>
        <w:rPr>
          <w:rStyle w:val="FootnoteCharacters"/>
          <w:rStyle w:val="FootnoteReference"/>
        </w:rPr>
        <w:footnoteReference w:id="7"/>
      </w:r>
      <w:r>
        <w:rPr>
          <w:b/>
          <w:bCs/>
          <w:position w:val="6"/>
        </w:rPr>
        <w:t>]</w:t>
      </w:r>
    </w:p>
    <w:p>
      <w:pPr>
        <w:pStyle w:val="BodyText"/>
        <w:suppressLineNumbers/>
        <w:spacing w:lineRule="auto" w:line="240"/>
        <w:jc w:val="center"/>
        <w:rPr/>
      </w:pPr>
      <w:r>
        <w:rPr/>
      </w:r>
    </w:p>
    <w:p>
      <w:pPr>
        <w:pStyle w:val="TableCaption"/>
        <w:rPr/>
      </w:pPr>
      <w:r>
        <w:rPr/>
        <w:t>Table 1</w:t>
        <w:br/>
        <w:t>PG&amp;E Utility ROE</w:t>
        <w:br/>
        <w:t>Includes Diablo Canyon Earnings</w:t>
      </w:r>
    </w:p>
    <w:tbl>
      <w:tblPr>
        <w:tblW w:w="4320" w:type="dxa"/>
        <w:jc w:val="start"/>
        <w:tblInd w:w="2268" w:type="dxa"/>
        <w:tblLayout w:type="fixed"/>
        <w:tblCellMar>
          <w:top w:w="0" w:type="dxa"/>
          <w:start w:w="108" w:type="dxa"/>
          <w:bottom w:w="0" w:type="dxa"/>
          <w:end w:w="108" w:type="dxa"/>
        </w:tblCellMar>
      </w:tblPr>
      <w:tblGrid>
        <w:gridCol w:w="879"/>
        <w:gridCol w:w="1641"/>
        <w:gridCol w:w="1800"/>
      </w:tblGrid>
      <w:tr>
        <w:trPr/>
        <w:tc>
          <w:tcPr>
            <w:tcW w:w="879" w:type="dxa"/>
            <w:tcBorders/>
          </w:tcPr>
          <w:p>
            <w:pPr>
              <w:pStyle w:val="Table-FirstRow"/>
              <w:spacing w:before="120" w:after="120"/>
              <w:jc w:val="center"/>
              <w:rPr>
                <w:b/>
                <w:bCs/>
                <w:u w:val="single"/>
              </w:rPr>
            </w:pPr>
            <w:r>
              <w:rPr>
                <w:b/>
                <w:bCs/>
                <w:u w:val="single"/>
              </w:rPr>
              <w:t>Year</w:t>
            </w:r>
          </w:p>
        </w:tc>
        <w:tc>
          <w:tcPr>
            <w:tcW w:w="1641" w:type="dxa"/>
            <w:tcBorders/>
          </w:tcPr>
          <w:p>
            <w:pPr>
              <w:pStyle w:val="Table-FirstRow"/>
              <w:spacing w:before="120" w:after="120"/>
              <w:jc w:val="center"/>
              <w:rPr>
                <w:b/>
                <w:bCs/>
                <w:u w:val="single"/>
              </w:rPr>
            </w:pPr>
            <w:r>
              <w:rPr>
                <w:b/>
                <w:bCs/>
                <w:u w:val="single"/>
              </w:rPr>
              <w:t>Recorded ROE</w:t>
            </w:r>
          </w:p>
        </w:tc>
        <w:tc>
          <w:tcPr>
            <w:tcW w:w="1800" w:type="dxa"/>
            <w:tcBorders/>
          </w:tcPr>
          <w:p>
            <w:pPr>
              <w:pStyle w:val="Table-FirstRow"/>
              <w:spacing w:before="120" w:after="120"/>
              <w:jc w:val="center"/>
              <w:rPr>
                <w:b/>
                <w:bCs/>
                <w:u w:val="single"/>
              </w:rPr>
            </w:pPr>
            <w:r>
              <w:rPr>
                <w:b/>
                <w:bCs/>
                <w:u w:val="single"/>
              </w:rPr>
              <w:t>Authorized ROE</w:t>
            </w:r>
          </w:p>
        </w:tc>
      </w:tr>
      <w:tr>
        <w:trPr/>
        <w:tc>
          <w:tcPr>
            <w:tcW w:w="879" w:type="dxa"/>
            <w:tcBorders/>
            <w:shd w:fill="BFDFBF" w:val="clear"/>
          </w:tcPr>
          <w:p>
            <w:pPr>
              <w:pStyle w:val="Table"/>
              <w:spacing w:before="0" w:after="120"/>
              <w:jc w:val="center"/>
              <w:rPr/>
            </w:pPr>
            <w:r>
              <w:rPr/>
              <w:t>1996</w:t>
            </w:r>
          </w:p>
        </w:tc>
        <w:tc>
          <w:tcPr>
            <w:tcW w:w="1641" w:type="dxa"/>
            <w:tcBorders/>
          </w:tcPr>
          <w:p>
            <w:pPr>
              <w:pStyle w:val="Table"/>
              <w:spacing w:before="0" w:after="120"/>
              <w:jc w:val="center"/>
              <w:rPr/>
            </w:pPr>
            <w:r>
              <w:rPr/>
              <w:t>10.21%</w:t>
            </w:r>
          </w:p>
        </w:tc>
        <w:tc>
          <w:tcPr>
            <w:tcW w:w="1800" w:type="dxa"/>
            <w:tcBorders/>
          </w:tcPr>
          <w:p>
            <w:pPr>
              <w:pStyle w:val="Table"/>
              <w:spacing w:before="0" w:after="120"/>
              <w:jc w:val="center"/>
              <w:rPr/>
            </w:pPr>
            <w:r>
              <w:rPr/>
              <w:t>11.6%</w:t>
            </w:r>
          </w:p>
        </w:tc>
      </w:tr>
      <w:tr>
        <w:trPr/>
        <w:tc>
          <w:tcPr>
            <w:tcW w:w="879" w:type="dxa"/>
            <w:tcBorders/>
            <w:shd w:fill="BFDFBF" w:val="clear"/>
          </w:tcPr>
          <w:p>
            <w:pPr>
              <w:pStyle w:val="Table"/>
              <w:spacing w:before="0" w:after="120"/>
              <w:jc w:val="center"/>
              <w:rPr/>
            </w:pPr>
            <w:r>
              <w:rPr/>
              <w:t>1997</w:t>
            </w:r>
          </w:p>
        </w:tc>
        <w:tc>
          <w:tcPr>
            <w:tcW w:w="1641" w:type="dxa"/>
            <w:tcBorders/>
          </w:tcPr>
          <w:p>
            <w:pPr>
              <w:pStyle w:val="Table"/>
              <w:spacing w:before="0" w:after="120"/>
              <w:jc w:val="center"/>
              <w:rPr/>
            </w:pPr>
            <w:r>
              <w:rPr/>
              <w:t>7.93%</w:t>
            </w:r>
          </w:p>
        </w:tc>
        <w:tc>
          <w:tcPr>
            <w:tcW w:w="1800" w:type="dxa"/>
            <w:tcBorders/>
          </w:tcPr>
          <w:p>
            <w:pPr>
              <w:pStyle w:val="Table"/>
              <w:spacing w:before="0" w:after="120"/>
              <w:jc w:val="center"/>
              <w:rPr/>
            </w:pPr>
            <w:r>
              <w:rPr/>
              <w:t>11.6%</w:t>
            </w:r>
          </w:p>
        </w:tc>
      </w:tr>
      <w:tr>
        <w:trPr/>
        <w:tc>
          <w:tcPr>
            <w:tcW w:w="879" w:type="dxa"/>
            <w:tcBorders/>
            <w:shd w:fill="BFDFBF" w:val="clear"/>
          </w:tcPr>
          <w:p>
            <w:pPr>
              <w:pStyle w:val="Table"/>
              <w:spacing w:before="0" w:after="120"/>
              <w:jc w:val="center"/>
              <w:rPr/>
            </w:pPr>
            <w:r>
              <w:rPr/>
              <w:t>1998</w:t>
            </w:r>
          </w:p>
        </w:tc>
        <w:tc>
          <w:tcPr>
            <w:tcW w:w="1641" w:type="dxa"/>
            <w:tcBorders/>
          </w:tcPr>
          <w:p>
            <w:pPr>
              <w:pStyle w:val="Table"/>
              <w:spacing w:before="0" w:after="120"/>
              <w:jc w:val="center"/>
              <w:rPr/>
            </w:pPr>
            <w:r>
              <w:rPr/>
              <w:t>9.27%</w:t>
            </w:r>
          </w:p>
        </w:tc>
        <w:tc>
          <w:tcPr>
            <w:tcW w:w="1800" w:type="dxa"/>
            <w:tcBorders/>
          </w:tcPr>
          <w:p>
            <w:pPr>
              <w:pStyle w:val="Table"/>
              <w:spacing w:before="0" w:after="120"/>
              <w:jc w:val="center"/>
              <w:rPr/>
            </w:pPr>
            <w:r>
              <w:rPr/>
              <w:t>11.2%</w:t>
            </w:r>
          </w:p>
        </w:tc>
      </w:tr>
      <w:tr>
        <w:trPr/>
        <w:tc>
          <w:tcPr>
            <w:tcW w:w="879" w:type="dxa"/>
            <w:tcBorders/>
            <w:shd w:fill="BFDFBF" w:val="clear"/>
          </w:tcPr>
          <w:p>
            <w:pPr>
              <w:pStyle w:val="Table"/>
              <w:spacing w:before="0" w:after="120"/>
              <w:jc w:val="center"/>
              <w:rPr/>
            </w:pPr>
            <w:r>
              <w:rPr/>
              <w:t>1999</w:t>
            </w:r>
          </w:p>
        </w:tc>
        <w:tc>
          <w:tcPr>
            <w:tcW w:w="1641" w:type="dxa"/>
            <w:tcBorders/>
          </w:tcPr>
          <w:p>
            <w:pPr>
              <w:pStyle w:val="Table"/>
              <w:spacing w:before="0" w:after="120"/>
              <w:jc w:val="center"/>
              <w:rPr/>
            </w:pPr>
            <w:r>
              <w:rPr/>
              <w:t>10.28%</w:t>
            </w:r>
          </w:p>
        </w:tc>
        <w:tc>
          <w:tcPr>
            <w:tcW w:w="1800" w:type="dxa"/>
            <w:tcBorders/>
          </w:tcPr>
          <w:p>
            <w:pPr>
              <w:pStyle w:val="Table"/>
              <w:spacing w:before="0" w:after="120"/>
              <w:jc w:val="center"/>
              <w:rPr/>
            </w:pPr>
            <w:r>
              <w:rPr/>
              <w:t>10.6%</w:t>
            </w:r>
          </w:p>
        </w:tc>
      </w:tr>
    </w:tbl>
    <w:p>
      <w:pPr>
        <w:pStyle w:val="Body1"/>
        <w:suppressLineNumbers/>
        <w:rPr/>
      </w:pPr>
      <w:r>
        <w:rPr/>
      </w:r>
    </w:p>
    <w:p>
      <w:pPr>
        <w:pStyle w:val="Body1"/>
        <w:rPr/>
      </w:pPr>
      <w:r>
        <w:rPr/>
        <w:t>Put another way, as shown in the table below, PG&amp;E’s estimated TRA undercollection of $3.4 billion at the end of October is approximately equal to all PG&amp;E’s utility earnings from 1996 to the present.</w:t>
      </w:r>
    </w:p>
    <w:p>
      <w:pPr>
        <w:pStyle w:val="TableCaption"/>
        <w:rPr/>
      </w:pPr>
      <w:r>
        <w:rPr/>
        <w:t>Table 2</w:t>
        <w:br/>
        <w:t>PG&amp;E Income Available for Common Stock</w:t>
        <w:br/>
        <w:t xml:space="preserve">$ millions </w:t>
      </w:r>
    </w:p>
    <w:p>
      <w:pPr>
        <w:pStyle w:val="Body1"/>
        <w:suppressLineNumbers/>
        <w:rPr/>
      </w:pPr>
      <w:r>
        <w:rPr/>
      </w:r>
    </w:p>
    <w:tbl>
      <w:tblPr>
        <w:tblW w:w="9900" w:type="dxa"/>
        <w:jc w:val="center"/>
        <w:tblInd w:w="0" w:type="dxa"/>
        <w:tblLayout w:type="fixed"/>
        <w:tblCellMar>
          <w:top w:w="0" w:type="dxa"/>
          <w:start w:w="108" w:type="dxa"/>
          <w:bottom w:w="0" w:type="dxa"/>
          <w:end w:w="108" w:type="dxa"/>
        </w:tblCellMar>
      </w:tblPr>
      <w:tblGrid>
        <w:gridCol w:w="2467"/>
        <w:gridCol w:w="1397"/>
        <w:gridCol w:w="1397"/>
        <w:gridCol w:w="1397"/>
        <w:gridCol w:w="1397"/>
        <w:gridCol w:w="1845"/>
      </w:tblGrid>
      <w:tr>
        <w:trPr/>
        <w:tc>
          <w:tcPr>
            <w:tcW w:w="2467" w:type="dxa"/>
            <w:tcBorders/>
          </w:tcPr>
          <w:p>
            <w:pPr>
              <w:pStyle w:val="Body1"/>
              <w:suppressLineNumbers/>
              <w:snapToGrid w:val="false"/>
              <w:ind w:hanging="0" w:start="0" w:end="0"/>
              <w:rPr>
                <w:b/>
                <w:bCs/>
              </w:rPr>
            </w:pPr>
            <w:r>
              <w:rPr>
                <w:b/>
                <w:bCs/>
              </w:rPr>
            </w:r>
          </w:p>
        </w:tc>
        <w:tc>
          <w:tcPr>
            <w:tcW w:w="1397" w:type="dxa"/>
            <w:tcBorders/>
          </w:tcPr>
          <w:p>
            <w:pPr>
              <w:pStyle w:val="Body1"/>
              <w:suppressLineNumbers/>
              <w:ind w:hanging="0" w:start="0" w:end="0"/>
              <w:jc w:val="center"/>
              <w:rPr/>
            </w:pPr>
            <w:r>
              <w:rPr>
                <w:b/>
                <w:bCs/>
              </w:rPr>
              <w:br/>
            </w:r>
            <w:r>
              <w:rPr>
                <w:b/>
                <w:bCs/>
                <w:u w:val="single"/>
              </w:rPr>
              <w:t>1996</w:t>
            </w:r>
          </w:p>
        </w:tc>
        <w:tc>
          <w:tcPr>
            <w:tcW w:w="1397" w:type="dxa"/>
            <w:tcBorders/>
          </w:tcPr>
          <w:p>
            <w:pPr>
              <w:pStyle w:val="Body1"/>
              <w:suppressLineNumbers/>
              <w:ind w:hanging="0" w:start="0" w:end="0"/>
              <w:jc w:val="center"/>
              <w:rPr/>
            </w:pPr>
            <w:r>
              <w:rPr>
                <w:b/>
                <w:bCs/>
              </w:rPr>
              <w:br/>
            </w:r>
            <w:r>
              <w:rPr>
                <w:b/>
                <w:bCs/>
                <w:u w:val="single"/>
              </w:rPr>
              <w:t>1997</w:t>
            </w:r>
          </w:p>
        </w:tc>
        <w:tc>
          <w:tcPr>
            <w:tcW w:w="1397" w:type="dxa"/>
            <w:tcBorders/>
          </w:tcPr>
          <w:p>
            <w:pPr>
              <w:pStyle w:val="Body1"/>
              <w:suppressLineNumbers/>
              <w:ind w:hanging="0" w:start="0" w:end="0"/>
              <w:jc w:val="center"/>
              <w:rPr/>
            </w:pPr>
            <w:r>
              <w:rPr>
                <w:b/>
                <w:bCs/>
              </w:rPr>
              <w:br/>
            </w:r>
            <w:r>
              <w:rPr>
                <w:b/>
                <w:bCs/>
                <w:u w:val="single"/>
              </w:rPr>
              <w:t>1998</w:t>
            </w:r>
          </w:p>
        </w:tc>
        <w:tc>
          <w:tcPr>
            <w:tcW w:w="1397" w:type="dxa"/>
            <w:tcBorders/>
          </w:tcPr>
          <w:p>
            <w:pPr>
              <w:pStyle w:val="Body1"/>
              <w:suppressLineNumbers/>
              <w:ind w:hanging="0" w:start="0" w:end="0"/>
              <w:jc w:val="center"/>
              <w:rPr/>
            </w:pPr>
            <w:r>
              <w:rPr>
                <w:b/>
                <w:bCs/>
              </w:rPr>
              <w:br/>
            </w:r>
            <w:r>
              <w:rPr>
                <w:b/>
                <w:bCs/>
                <w:u w:val="single"/>
              </w:rPr>
              <w:t>1999</w:t>
            </w:r>
          </w:p>
        </w:tc>
        <w:tc>
          <w:tcPr>
            <w:tcW w:w="1845" w:type="dxa"/>
            <w:tcBorders/>
          </w:tcPr>
          <w:p>
            <w:pPr>
              <w:pStyle w:val="Body1"/>
              <w:suppressLineNumbers/>
              <w:ind w:hanging="0" w:start="0" w:end="0"/>
              <w:jc w:val="center"/>
              <w:rPr>
                <w:b/>
                <w:bCs/>
              </w:rPr>
            </w:pPr>
            <w:r>
              <w:rPr>
                <w:b/>
                <w:bCs/>
              </w:rPr>
              <w:t>Third Quarter</w:t>
              <w:br/>
            </w:r>
            <w:r>
              <w:rPr>
                <w:b/>
                <w:bCs/>
                <w:u w:val="single"/>
              </w:rPr>
              <w:t>2000</w:t>
            </w:r>
          </w:p>
        </w:tc>
      </w:tr>
      <w:tr>
        <w:trPr/>
        <w:tc>
          <w:tcPr>
            <w:tcW w:w="2467" w:type="dxa"/>
            <w:tcBorders/>
          </w:tcPr>
          <w:p>
            <w:pPr>
              <w:pStyle w:val="Body1"/>
              <w:suppressLineNumbers/>
              <w:ind w:hanging="0" w:start="0" w:end="0"/>
              <w:rPr/>
            </w:pPr>
            <w:r>
              <w:rPr/>
              <w:t>Annual/year to date</w:t>
            </w:r>
          </w:p>
        </w:tc>
        <w:tc>
          <w:tcPr>
            <w:tcW w:w="1397" w:type="dxa"/>
            <w:tcBorders/>
          </w:tcPr>
          <w:p>
            <w:pPr>
              <w:pStyle w:val="Body1"/>
              <w:suppressLineNumbers/>
              <w:ind w:hanging="0" w:start="0" w:end="0"/>
              <w:jc w:val="center"/>
              <w:rPr/>
            </w:pPr>
            <w:r>
              <w:rPr/>
              <w:t>722</w:t>
            </w:r>
          </w:p>
        </w:tc>
        <w:tc>
          <w:tcPr>
            <w:tcW w:w="1397" w:type="dxa"/>
            <w:tcBorders/>
          </w:tcPr>
          <w:p>
            <w:pPr>
              <w:pStyle w:val="Body1"/>
              <w:suppressLineNumbers/>
              <w:ind w:hanging="0" w:start="0" w:end="0"/>
              <w:jc w:val="center"/>
              <w:rPr/>
            </w:pPr>
            <w:r>
              <w:rPr/>
              <w:t>735</w:t>
            </w:r>
          </w:p>
        </w:tc>
        <w:tc>
          <w:tcPr>
            <w:tcW w:w="1397" w:type="dxa"/>
            <w:tcBorders/>
          </w:tcPr>
          <w:p>
            <w:pPr>
              <w:pStyle w:val="Body1"/>
              <w:suppressLineNumbers/>
              <w:ind w:hanging="0" w:start="0" w:end="0"/>
              <w:jc w:val="center"/>
              <w:rPr/>
            </w:pPr>
            <w:r>
              <w:rPr/>
              <w:t>702</w:t>
            </w:r>
          </w:p>
        </w:tc>
        <w:tc>
          <w:tcPr>
            <w:tcW w:w="1397" w:type="dxa"/>
            <w:tcBorders/>
          </w:tcPr>
          <w:p>
            <w:pPr>
              <w:pStyle w:val="Body1"/>
              <w:suppressLineNumbers/>
              <w:ind w:hanging="0" w:start="0" w:end="0"/>
              <w:jc w:val="center"/>
              <w:rPr/>
            </w:pPr>
            <w:r>
              <w:rPr/>
              <w:t>763</w:t>
            </w:r>
          </w:p>
        </w:tc>
        <w:tc>
          <w:tcPr>
            <w:tcW w:w="1845" w:type="dxa"/>
            <w:tcBorders/>
          </w:tcPr>
          <w:p>
            <w:pPr>
              <w:pStyle w:val="Body1"/>
              <w:suppressLineNumbers/>
              <w:ind w:hanging="0" w:start="0" w:end="0"/>
              <w:jc w:val="center"/>
              <w:rPr/>
            </w:pPr>
            <w:r>
              <w:rPr/>
              <w:t>655</w:t>
            </w:r>
          </w:p>
        </w:tc>
      </w:tr>
      <w:tr>
        <w:trPr/>
        <w:tc>
          <w:tcPr>
            <w:tcW w:w="2467" w:type="dxa"/>
            <w:tcBorders/>
          </w:tcPr>
          <w:p>
            <w:pPr>
              <w:pStyle w:val="Body1"/>
              <w:suppressLineNumbers/>
              <w:ind w:hanging="0" w:start="0" w:end="0"/>
              <w:rPr/>
            </w:pPr>
            <w:r>
              <w:rPr/>
              <w:t>Cumulative</w:t>
            </w:r>
          </w:p>
        </w:tc>
        <w:tc>
          <w:tcPr>
            <w:tcW w:w="1397" w:type="dxa"/>
            <w:tcBorders/>
          </w:tcPr>
          <w:p>
            <w:pPr>
              <w:pStyle w:val="Body1"/>
              <w:suppressLineNumbers/>
              <w:ind w:hanging="0" w:start="0" w:end="0"/>
              <w:jc w:val="center"/>
              <w:rPr/>
            </w:pPr>
            <w:r>
              <w:rPr/>
              <w:t>722</w:t>
            </w:r>
          </w:p>
        </w:tc>
        <w:tc>
          <w:tcPr>
            <w:tcW w:w="1397" w:type="dxa"/>
            <w:tcBorders/>
          </w:tcPr>
          <w:p>
            <w:pPr>
              <w:pStyle w:val="Body1"/>
              <w:suppressLineNumbers/>
              <w:ind w:hanging="0" w:start="0" w:end="0"/>
              <w:jc w:val="center"/>
              <w:rPr/>
            </w:pPr>
            <w:r>
              <w:rPr/>
              <w:t>1,457</w:t>
            </w:r>
          </w:p>
        </w:tc>
        <w:tc>
          <w:tcPr>
            <w:tcW w:w="1397" w:type="dxa"/>
            <w:tcBorders/>
          </w:tcPr>
          <w:p>
            <w:pPr>
              <w:pStyle w:val="Body1"/>
              <w:suppressLineNumbers/>
              <w:ind w:hanging="0" w:start="0" w:end="0"/>
              <w:jc w:val="center"/>
              <w:rPr/>
            </w:pPr>
            <w:r>
              <w:rPr/>
              <w:t>2,159</w:t>
            </w:r>
          </w:p>
        </w:tc>
        <w:tc>
          <w:tcPr>
            <w:tcW w:w="1397" w:type="dxa"/>
            <w:tcBorders/>
          </w:tcPr>
          <w:p>
            <w:pPr>
              <w:pStyle w:val="Body1"/>
              <w:suppressLineNumbers/>
              <w:ind w:hanging="0" w:start="0" w:end="0"/>
              <w:jc w:val="center"/>
              <w:rPr/>
            </w:pPr>
            <w:r>
              <w:rPr/>
              <w:t>2,922</w:t>
            </w:r>
          </w:p>
        </w:tc>
        <w:tc>
          <w:tcPr>
            <w:tcW w:w="1845" w:type="dxa"/>
            <w:tcBorders/>
          </w:tcPr>
          <w:p>
            <w:pPr>
              <w:pStyle w:val="Body1"/>
              <w:suppressLineNumbers/>
              <w:ind w:hanging="0" w:start="0" w:end="0"/>
              <w:jc w:val="center"/>
              <w:rPr/>
            </w:pPr>
            <w:r>
              <w:rPr/>
              <w:t>3,577</w:t>
            </w:r>
          </w:p>
        </w:tc>
      </w:tr>
    </w:tbl>
    <w:p>
      <w:pPr>
        <w:pStyle w:val="Body1"/>
        <w:suppressLineNumbers/>
        <w:rPr/>
      </w:pPr>
      <w:r>
        <w:rPr/>
      </w:r>
    </w:p>
    <w:p>
      <w:pPr>
        <w:pStyle w:val="Body1"/>
        <w:rPr/>
      </w:pPr>
      <w:r>
        <w:rPr/>
        <w:t xml:space="preserve">PG&amp;E’s 2000 earnings exist only because PG&amp;E has not written off any portion of its TRA undercollection.  The TRA has been considered a regulatory asset or receivable.  Until recently, any undercollections have been considered temporary and PG&amp;E has felt confident that it would recover those undercollections in subsequent months.  </w:t>
      </w:r>
    </w:p>
    <w:p>
      <w:pPr>
        <w:pStyle w:val="Body1"/>
        <w:rPr/>
      </w:pPr>
      <w:r>
        <w:rPr/>
        <w:t>However, if PG&amp;E believes it is no longer probable that it will recover the TRA balance, it will likely need to write off the amount.  The undercollection currently equals utility earnings for the past five years.  Wholesale power costs each month roughly equal annual utility earnings.</w:t>
      </w:r>
    </w:p>
    <w:p>
      <w:pPr>
        <w:pStyle w:val="Heading1"/>
        <w:tabs>
          <w:tab w:val="clear" w:pos="432"/>
          <w:tab w:val="left" w:pos="0" w:leader="none"/>
        </w:tabs>
        <w:ind w:hanging="864" w:start="864"/>
        <w:rPr/>
      </w:pPr>
      <w:bookmarkStart w:id="3" w:name="__RefHeading___Toc498416810"/>
      <w:r>
        <w:rPr/>
        <w:t>Above Market Revenues Are a Fraction of the Energy Costs</w:t>
      </w:r>
      <w:bookmarkEnd w:id="3"/>
      <w:r>
        <w:rPr/>
        <w:t xml:space="preserve">  </w:t>
      </w:r>
    </w:p>
    <w:p>
      <w:pPr>
        <w:pStyle w:val="Body1"/>
        <w:rPr/>
      </w:pPr>
      <w:r>
        <w:rPr/>
        <w:t>Contrary to the implications in TURN’s motion, above-market revenues are nowhere near the amount needed to cover the cost of wholesale power that PG&amp;E is purchasing for its customers.  Rather, the above market revenues PG&amp;E receives each month are only a small fraction of the costs PG&amp;E is incurring to procure energy on the behalf of its bundled customers.  In its motion, TURN states that Edison and PG&amp;E recorded net generation revenues of about $2.7 billion from May through August, and that this is “a very substantial portion of the total TRA undercollection of approximately $4 billion recorded during that same period.”  Although it is not possible to separate PG&amp;E data from Edison data in the TURN motion, TURN’s statement is not reflective of fact for PG&amp;E.</w:t>
      </w:r>
    </w:p>
    <w:p>
      <w:pPr>
        <w:pStyle w:val="Body1"/>
        <w:rPr/>
      </w:pPr>
      <w:r>
        <w:rPr/>
        <w:t xml:space="preserve">PG&amp;E’s estimated TRA undercollection at the end of October is $3.4 billion.  Above market generation revenues for May through October are estimated at $1.5 billion, or about 44 percent of the TRA undercollection.  However, almost two-thirds of these revenues were credited against transition costs according to Commission-approved accounting rules prior to the end of August.  As stated in PG&amp;E’s comments, also filed today, it would not be legal for the Commission to, after the fact, say that these revenues did not recover transition costs but, instead, should be credited against the TRA undercollection. </w:t>
      </w:r>
    </w:p>
    <w:p>
      <w:pPr>
        <w:pStyle w:val="Body1"/>
        <w:rPr/>
      </w:pPr>
      <w:r>
        <w:rPr/>
        <w:t>The current overcollection in PG&amp;E’s TCBA is far lower than the TRA balance, about $674 million or 19 percent of the TRA undercollection.  A portion of these revenues that were earned after the retroactive end of PG&amp;E’s rate freeze rightfully belong to PG&amp;E’s shareholders.  The remainder, as explained in Section B, could be used to offset wholesale power costs.  PG&amp;E’s proposal, sets out a method for using a portion of these revenues now to offset the TRA undercollection.</w:t>
      </w:r>
    </w:p>
    <w:p>
      <w:pPr>
        <w:pStyle w:val="Body1"/>
        <w:rPr/>
      </w:pPr>
      <w:r>
        <w:rPr/>
        <w:t xml:space="preserve">However, as explained in PG&amp;E’s other chapters of testimony, such “netting” will do nothing to alleviate the financial crisis PG&amp;E faces because, on a cash basis, the amounts already are “netted.”  </w:t>
      </w:r>
    </w:p>
    <w:p>
      <w:pPr>
        <w:pStyle w:val="Body1"/>
        <w:rPr/>
      </w:pPr>
      <w:r>
        <w:rPr/>
        <w:t>Furthermore, these revenues have declined somewhat over time.  Two factors are responsible for this decline in revenues in relation to costs, one temporary and one that will continue.</w:t>
      </w:r>
    </w:p>
    <w:p>
      <w:pPr>
        <w:pStyle w:val="Body1"/>
        <w:rPr/>
      </w:pPr>
      <w:r>
        <w:rPr/>
        <w:t>First, revenues from Diablo Canyon were lower than might be expected in October due to a scheduled refueling outage.  Second, above-market revenues for qualifying facility (QF) contracts have declined markedly as QFs have elected to receive market revenues rather than contract revenues.  For most of the transition period, contract prices in QF contracts have been above average PX prices, creating transition costs.  However, with high prices in 2000, PX prices have risen above the contract prices, and QFs have had the option of choosing PX prices.  The ability to make this choice was granted to QFs in Section 390 of the PU Code, as enacted with AB 1890.  Thus in September and October, QF contracts created net transition costs, not revenues.</w:t>
      </w:r>
    </w:p>
    <w:p>
      <w:pPr>
        <w:pStyle w:val="Body1"/>
        <w:rPr/>
      </w:pPr>
      <w:r>
        <w:rPr/>
        <w:t>PG&amp;E expects above-market generation revenues to equal about 20 to 30 percent of wholesale power costs during periods when power costs are high.</w:t>
      </w:r>
    </w:p>
    <w:p>
      <w:pPr>
        <w:pStyle w:val="Heading1"/>
        <w:tabs>
          <w:tab w:val="clear" w:pos="432"/>
          <w:tab w:val="left" w:pos="0" w:leader="none"/>
        </w:tabs>
        <w:ind w:hanging="864" w:start="864"/>
        <w:rPr/>
      </w:pPr>
      <w:bookmarkStart w:id="4" w:name="__RefHeading___Toc498416811"/>
      <w:bookmarkEnd w:id="4"/>
      <w:r>
        <w:rPr/>
        <w:t>Conclusion</w:t>
      </w:r>
    </w:p>
    <w:p>
      <w:pPr>
        <w:pStyle w:val="Body1"/>
        <w:rPr/>
      </w:pPr>
      <w:r>
        <w:rPr/>
        <w:t>The Commission needs to act quickly to increase revenues to collect unprecedented wholesale power costs.  No accounting change will provide relief for several reasons:</w:t>
      </w:r>
    </w:p>
    <w:p>
      <w:pPr>
        <w:pStyle w:val="Bullet1"/>
        <w:numPr>
          <w:ilvl w:val="0"/>
          <w:numId w:val="4"/>
        </w:numPr>
        <w:tabs>
          <w:tab w:val="clear" w:pos="720"/>
          <w:tab w:val="left" w:pos="0" w:leader="none"/>
        </w:tabs>
        <w:ind w:hanging="864" w:start="1296"/>
        <w:rPr/>
      </w:pPr>
      <w:r>
        <w:rPr/>
        <w:t>An undercollection does not change its nature because it is in a different account;</w:t>
      </w:r>
    </w:p>
    <w:p>
      <w:pPr>
        <w:pStyle w:val="Bullet1"/>
        <w:numPr>
          <w:ilvl w:val="0"/>
          <w:numId w:val="4"/>
        </w:numPr>
        <w:tabs>
          <w:tab w:val="clear" w:pos="720"/>
          <w:tab w:val="left" w:pos="0" w:leader="none"/>
        </w:tabs>
        <w:ind w:hanging="864" w:start="1296"/>
        <w:rPr/>
      </w:pPr>
      <w:r>
        <w:rPr/>
        <w:t>Wholesale power costs vastly exceed above-market revenues;</w:t>
      </w:r>
    </w:p>
    <w:p>
      <w:pPr>
        <w:pStyle w:val="Bullet1"/>
        <w:numPr>
          <w:ilvl w:val="0"/>
          <w:numId w:val="4"/>
        </w:numPr>
        <w:tabs>
          <w:tab w:val="clear" w:pos="720"/>
          <w:tab w:val="left" w:pos="0" w:leader="none"/>
        </w:tabs>
        <w:ind w:hanging="864" w:start="1296"/>
        <w:rPr/>
      </w:pPr>
      <w:r>
        <w:rPr/>
        <w:t>Lenders already consider the company’s net cash position when evaluating a loan.</w:t>
      </w:r>
    </w:p>
    <w:p>
      <w:pPr>
        <w:pStyle w:val="Body1"/>
        <w:rPr/>
      </w:pPr>
      <w:r>
        <w:rPr/>
        <w:t>Nevertheless, PG&amp;E has made a proposal that it believes is legal and meets the Commission’s criteria as outlined at the prehearing conference.  While this proposal will not solve the current problem, it may help parties understand the relationship of various cost and revenue elements.</w:t>
      </w:r>
    </w:p>
    <w:p>
      <w:pPr>
        <w:pStyle w:val="Body1"/>
        <w:rPr/>
      </w:pPr>
      <w:r>
        <w:rPr/>
        <w:t>For a lasting solution, the Commission should act expeditiously on PG&amp;E’s rate stabilization plan when it is filed.</w:t>
      </w:r>
    </w:p>
    <w:sectPr>
      <w:headerReference w:type="default" r:id="rId6"/>
      <w:headerReference w:type="first" r:id="rId7"/>
      <w:footerReference w:type="default" r:id="rId8"/>
      <w:footerReference w:type="first" r:id="rId9"/>
      <w:footnotePr>
        <w:numFmt w:val="decimal"/>
      </w:footnotePr>
      <w:type w:val="nextPage"/>
      <w:pgSz w:w="12240" w:h="15840"/>
      <w:pgMar w:left="1440" w:right="1440" w:gutter="360" w:header="720" w:top="1008" w:footer="432" w:bottom="1008"/>
      <w:lnNumType w:countBy="1" w:restart="newPage" w:distance="283"/>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Liberation Sans">
    <w:altName w:val="Arial"/>
    <w:charset w:val="01" w:characterSet="utf-8"/>
    <w:family w:val="swiss"/>
    <w:pitch w:val="variable"/>
  </w:font>
  <w:font w:name="Times New Roman">
    <w:charset w:val="01"/>
    <w:family w:val="roman"/>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SEQ chap \* ARABIC </w:instrText>
    </w:r>
    <w:r>
      <w:rPr/>
      <w:fldChar w:fldCharType="separate"/>
    </w:r>
    <w:r>
      <w:rPr/>
    </w:r>
    <w:r>
      <w:rPr/>
      <w:fldChar w:fldCharType="end"/>
    </w:r>
    <w:r>
      <w:rPr/>
      <w:t>-</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b/>
        <w:bCs/>
      </w:rPr>
      <w:t>1-</w:t>
    </w:r>
    <w:r>
      <w:rPr/>
      <w:fldChar w:fldCharType="begin"/>
    </w:r>
    <w:r>
      <w:rPr/>
      <w:instrText xml:space="preserve"> PAGE </w:instrText>
    </w:r>
    <w:r>
      <w:rPr/>
      <w:fldChar w:fldCharType="separate"/>
    </w:r>
    <w:r>
      <w:rPr/>
      <w:t>6</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keepLines/>
        <w:spacing w:lineRule="exact" w:line="240" w:before="60" w:after="60"/>
        <w:ind w:hanging="720" w:start="720" w:end="0"/>
        <w:rPr/>
      </w:pPr>
      <w:r>
        <w:rPr>
          <w:rStyle w:val="FootnoteCharacters"/>
        </w:rPr>
        <w:footnoteRef/>
      </w:r>
      <w:r>
        <w:rPr>
          <w:b/>
          <w:bCs/>
          <w:position w:val="6"/>
        </w:rPr>
        <w:t>[</w:t>
      </w:r>
      <w:r>
        <w:rPr>
          <w:rStyle w:val="FootnoteCharacters"/>
        </w:rPr>
        <w:t>?</w:t>
      </w:r>
      <w:r>
        <w:rPr>
          <w:b/>
          <w:bCs/>
          <w:position w:val="6"/>
        </w:rPr>
        <w:t>]</w:t>
      </w:r>
      <w:r>
        <w:rPr/>
        <w:tab/>
      </w:r>
      <w:r>
        <w:rPr>
          <w:i/>
          <w:iCs/>
        </w:rPr>
        <w:t>Petition of the Utility Reform Network for Modification of Resolution E-3527</w:t>
      </w:r>
      <w:r>
        <w:rPr/>
        <w:t>, filed October 17, 2000 in R.94-04-031 and I.94-04-032.</w:t>
      </w:r>
    </w:p>
  </w:footnote>
  <w:footnote w:id="3">
    <w:p>
      <w:pPr>
        <w:pStyle w:val="FootnoteText"/>
        <w:keepLines/>
        <w:spacing w:lineRule="exact" w:line="240" w:before="60" w:after="60"/>
        <w:ind w:hanging="720" w:start="720" w:end="0"/>
        <w:rPr/>
      </w:pPr>
      <w:r>
        <w:rPr>
          <w:rStyle w:val="FootnoteCharacters"/>
        </w:rPr>
        <w:footnoteRef/>
      </w:r>
      <w:r>
        <w:rPr>
          <w:b/>
          <w:bCs/>
          <w:position w:val="6"/>
        </w:rPr>
        <w:t>[</w:t>
      </w:r>
      <w:r>
        <w:rPr>
          <w:rStyle w:val="FootnoteCharacters"/>
        </w:rPr>
        <w:t>?</w:t>
      </w:r>
      <w:r>
        <w:rPr>
          <w:b/>
          <w:bCs/>
          <w:position w:val="6"/>
        </w:rPr>
        <w:t>]</w:t>
      </w:r>
      <w:r>
        <w:rPr/>
        <w:tab/>
        <w:t xml:space="preserve">E.g., ALJ Minkin, at the prehearing conference on this issue said, “The only piece of this puzzle that we can address at this time are creative, equitable solutions that deal with changes in accounting mechanisms themselves.” Tr. 112, lines 12-15.  </w:t>
      </w:r>
    </w:p>
  </w:footnote>
  <w:footnote w:id="4">
    <w:p>
      <w:pPr>
        <w:pStyle w:val="FootnoteText"/>
        <w:keepLines/>
        <w:spacing w:lineRule="exact" w:line="240" w:before="60" w:after="60"/>
        <w:ind w:hanging="720" w:start="720" w:end="0"/>
        <w:rPr/>
      </w:pPr>
      <w:r>
        <w:rPr>
          <w:rStyle w:val="FootnoteCharacters"/>
        </w:rPr>
        <w:footnoteRef/>
      </w:r>
      <w:r>
        <w:rPr>
          <w:b/>
          <w:bCs/>
          <w:position w:val="6"/>
        </w:rPr>
        <w:t>[</w:t>
      </w:r>
      <w:r>
        <w:rPr>
          <w:rStyle w:val="FootnoteCharacters"/>
        </w:rPr>
        <w:t>?</w:t>
      </w:r>
      <w:r>
        <w:rPr>
          <w:b/>
          <w:bCs/>
          <w:position w:val="6"/>
        </w:rPr>
        <w:t>]</w:t>
      </w:r>
      <w:r>
        <w:rPr/>
        <w:tab/>
        <w:t>Above-market generation revenues are defined as those revenues available once the costs or authorized amount associated with PG&amp;E’s must-take facilities (Diablo Canyon, Qualifying Facilities, and Purchase Power Agreements), and must-run/non-must-run fossil and hydroelectric facilities has been recovered.  Above-market generation revenues associated with must-take and must-run/non-must-run facilities are recorded in the TCBA and Generation Memorandum Accounts, respectively.</w:t>
      </w:r>
    </w:p>
  </w:footnote>
  <w:footnote w:id="5">
    <w:p>
      <w:pPr>
        <w:pStyle w:val="FootnoteText"/>
        <w:keepLines/>
        <w:spacing w:lineRule="exact" w:line="240" w:before="60" w:after="60"/>
        <w:ind w:hanging="720" w:start="720" w:end="0"/>
        <w:rPr/>
      </w:pPr>
      <w:r>
        <w:rPr>
          <w:rStyle w:val="FootnoteCharacters"/>
        </w:rPr>
        <w:footnoteRef/>
      </w:r>
      <w:r>
        <w:rPr>
          <w:b/>
          <w:bCs/>
          <w:position w:val="6"/>
        </w:rPr>
        <w:t>[</w:t>
      </w:r>
      <w:r>
        <w:rPr>
          <w:rStyle w:val="FootnoteCharacters"/>
        </w:rPr>
        <w:t>?</w:t>
      </w:r>
      <w:r>
        <w:rPr>
          <w:b/>
          <w:bCs/>
          <w:position w:val="6"/>
        </w:rPr>
        <w:t>]</w:t>
      </w:r>
      <w:r>
        <w:rPr/>
        <w:tab/>
        <w:t>Tr. 109, lines 6-7.</w:t>
      </w:r>
    </w:p>
  </w:footnote>
  <w:footnote w:id="6">
    <w:p>
      <w:pPr>
        <w:pStyle w:val="FootnoteText"/>
        <w:keepLines/>
        <w:spacing w:lineRule="exact" w:line="240" w:before="60" w:after="60"/>
        <w:ind w:hanging="720" w:start="720" w:end="0"/>
        <w:rPr/>
      </w:pPr>
      <w:r>
        <w:rPr>
          <w:rStyle w:val="FootnoteCharacters"/>
        </w:rPr>
        <w:footnoteRef/>
      </w:r>
      <w:r>
        <w:rPr>
          <w:b/>
          <w:bCs/>
          <w:position w:val="6"/>
        </w:rPr>
        <w:t>[</w:t>
      </w:r>
      <w:r>
        <w:rPr>
          <w:rStyle w:val="FootnoteCharacters"/>
        </w:rPr>
        <w:t>?</w:t>
      </w:r>
      <w:r>
        <w:rPr>
          <w:b/>
          <w:bCs/>
          <w:position w:val="6"/>
        </w:rPr>
        <w:t>]</w:t>
      </w:r>
      <w:r>
        <w:rPr/>
        <w:tab/>
        <w:t>For instance, at the prehearing conference, Robert Gnaizda of Latino Issues Forum said, “Every month we read of doubling and tripling of profits.”  Tr 102, lines 17-18.</w:t>
      </w:r>
    </w:p>
  </w:footnote>
  <w:footnote w:id="7">
    <w:p>
      <w:pPr>
        <w:pStyle w:val="FootnoteText"/>
        <w:keepLines/>
        <w:spacing w:lineRule="exact" w:line="240" w:before="60" w:after="60"/>
        <w:ind w:hanging="720" w:start="720" w:end="0"/>
        <w:rPr/>
      </w:pPr>
      <w:r>
        <w:rPr>
          <w:rStyle w:val="FootnoteCharacters"/>
        </w:rPr>
        <w:footnoteRef/>
      </w:r>
      <w:r>
        <w:rPr>
          <w:b/>
          <w:bCs/>
          <w:position w:val="6"/>
        </w:rPr>
        <w:t>[</w:t>
      </w:r>
      <w:r>
        <w:rPr>
          <w:rStyle w:val="FootnoteCharacters"/>
        </w:rPr>
        <w:t>?</w:t>
      </w:r>
      <w:r>
        <w:rPr>
          <w:b/>
          <w:bCs/>
          <w:position w:val="6"/>
        </w:rPr>
        <w:t>]</w:t>
      </w:r>
      <w:r>
        <w:rPr/>
        <w:tab/>
        <w:t>In 1998 and 1999, the CPUC authorized covered distribution facilities only.</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uto" w:line="240"/>
      <w:jc w:val="end"/>
      <w:rPr>
        <w:b/>
        <w:bCs/>
      </w:rPr>
    </w:pPr>
    <w:r>
      <w:rPr>
        <w:b/>
        <w:bCs/>
      </w:rPr>
      <w:t>00/00/99</w:t>
    </w:r>
  </w:p>
  <w:p>
    <w:pPr>
      <w:pStyle w:val="TOCTitle"/>
      <w:spacing w:lineRule="atLeast" w:line="240" w:before="240" w:after="240"/>
      <w:ind w:hanging="0" w:start="0" w:end="0"/>
      <w:jc w:val="center"/>
      <w:rPr/>
    </w:pPr>
    <w:r>
      <w:rPr/>
      <w:t>PACIFIC GAS AND ELECTRIC COMPANY</w:t>
      <w:br/>
      <w:t xml:space="preserve">CHAPTER </w:t>
    </w:r>
    <w:r>
      <w:rPr/>
      <w:fldChar w:fldCharType="begin"/>
    </w:r>
    <w:r>
      <w:rPr/>
      <w:instrText xml:space="preserve"> SEQ chap \* ARABIC </w:instrText>
    </w:r>
    <w:r>
      <w:rPr/>
      <w:fldChar w:fldCharType="separate"/>
    </w:r>
    <w:r>
      <w:rPr/>
    </w:r>
    <w:r>
      <w:rPr/>
      <w:fldChar w:fldCharType="end"/>
    </w:r>
    <w:r>
      <w:rPr/>
      <w:br/>
      <w:t>CHAPTER TITLE</w:t>
      <w:br/>
      <w:br/>
      <w:t>TABLE OF CONTENTS</w:t>
      <w:br/>
      <w:br/>
      <w:t>(Continued)</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Letter"/>
      <w:lvlText w:val="%1"/>
      <w:lvlJc w:val="start"/>
      <w:pPr>
        <w:tabs>
          <w:tab w:val="num" w:pos="432"/>
        </w:tabs>
        <w:ind w:start="432" w:hanging="432"/>
      </w:pPr>
    </w:lvl>
    <w:lvl w:ilvl="1">
      <w:start w:val="1"/>
      <w:pStyle w:val="Heading2"/>
      <w:numFmt w:val="decimal"/>
      <w:lvlText w:val="%2"/>
      <w:lvlJc w:val="start"/>
      <w:pPr>
        <w:tabs>
          <w:tab w:val="num" w:pos="432"/>
        </w:tabs>
        <w:ind w:start="432" w:hanging="432"/>
      </w:pPr>
    </w:lvl>
    <w:lvl w:ilvl="2">
      <w:start w:val="1"/>
      <w:pStyle w:val="Heading3"/>
      <w:numFmt w:val="lowerLetter"/>
      <w:lvlText w:val="%3"/>
      <w:lvlJc w:val="start"/>
      <w:pPr>
        <w:tabs>
          <w:tab w:val="num" w:pos="432"/>
        </w:tabs>
        <w:ind w:start="432" w:hanging="432"/>
      </w:pPr>
    </w:lvl>
    <w:lvl w:ilvl="3">
      <w:start w:val="1"/>
      <w:pStyle w:val="Heading4"/>
      <w:numFmt w:val="decimal"/>
      <w:lvlText w:val="%4"/>
      <w:lvlJc w:val="start"/>
      <w:pPr>
        <w:tabs>
          <w:tab w:val="num" w:pos="432"/>
        </w:tabs>
        <w:ind w:start="432" w:hanging="432"/>
      </w:pPr>
    </w:lvl>
    <w:lvl w:ilvl="4">
      <w:start w:val="1"/>
      <w:pStyle w:val="Heading5"/>
      <w:numFmt w:val="lowerLetter"/>
      <w:lvlText w:val="%5"/>
      <w:lvlJc w:val="start"/>
      <w:pPr>
        <w:tabs>
          <w:tab w:val="num" w:pos="432"/>
        </w:tabs>
        <w:ind w:start="432" w:hanging="432"/>
      </w:pPr>
    </w:lvl>
    <w:lvl w:ilvl="5">
      <w:start w:val="1"/>
      <w:pStyle w:val="Heading6"/>
      <w:numFmt w:val="upperRoman"/>
      <w:lvlText w:val="%6"/>
      <w:lvlJc w:val="start"/>
      <w:pPr>
        <w:tabs>
          <w:tab w:val="num" w:pos="720"/>
        </w:tabs>
        <w:ind w:start="720" w:hanging="720"/>
      </w:pPr>
    </w:lvl>
    <w:lvl w:ilvl="6">
      <w:start w:val="1"/>
      <w:pStyle w:val="Heading7"/>
      <w:numFmt w:val="upperLetter"/>
      <w:lvlText w:val="%7"/>
      <w:lvlJc w:val="start"/>
      <w:pPr>
        <w:tabs>
          <w:tab w:val="num" w:pos="720"/>
        </w:tabs>
        <w:ind w:start="720" w:hanging="720"/>
      </w:pPr>
    </w:lvl>
    <w:lvl w:ilvl="7">
      <w:start w:val="1"/>
      <w:pStyle w:val="Heading8"/>
      <w:numFmt w:val="lowerRoman"/>
      <w:lvlText w:val="%8"/>
      <w:lvlJc w:val="start"/>
      <w:pPr>
        <w:tabs>
          <w:tab w:val="num" w:pos="720"/>
        </w:tabs>
        <w:ind w:start="720" w:hanging="720"/>
      </w:pPr>
    </w:lvl>
    <w:lvl w:ilvl="8">
      <w:start w:val="1"/>
      <w:pStyle w:val="Heading9"/>
      <w:numFmt w:val="lowerLetter"/>
      <w:lvlText w:val="%9"/>
      <w:lvlJc w:val="start"/>
      <w:pPr>
        <w:tabs>
          <w:tab w:val="num" w:pos="720"/>
        </w:tabs>
        <w:ind w:start="720" w:hanging="720"/>
      </w:pPr>
    </w:lvl>
  </w:abstractNum>
  <w:abstractNum w:abstractNumId="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432"/>
        </w:tabs>
        <w:ind w:start="432" w:hanging="432"/>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432"/>
        </w:tabs>
        <w:ind w:start="432" w:hanging="432"/>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next w:val="Body0"/>
    <w:qFormat/>
    <w:pPr>
      <w:widowControl/>
      <w:bidi w:val="0"/>
      <w:spacing w:lineRule="exact" w:line="400"/>
      <w:ind w:firstLine="432" w:start="0" w:end="0"/>
    </w:pPr>
    <w:rPr>
      <w:rFonts w:ascii="Arial" w:hAnsi="Arial" w:eastAsia="Arial" w:cs="Arial"/>
      <w:color w:val="000000"/>
      <w:sz w:val="24"/>
      <w:szCs w:val="24"/>
      <w:lang w:val="en-US" w:eastAsia="zh-CN" w:bidi="hi-IN"/>
    </w:rPr>
  </w:style>
  <w:style w:type="paragraph" w:styleId="Heading1">
    <w:name w:val="heading 1"/>
    <w:basedOn w:val="Normal"/>
    <w:next w:val="Body1"/>
    <w:qFormat/>
    <w:pPr>
      <w:keepNext w:val="true"/>
      <w:numPr>
        <w:ilvl w:val="0"/>
        <w:numId w:val="1"/>
      </w:numPr>
      <w:tabs>
        <w:tab w:val="clear" w:pos="720"/>
        <w:tab w:val="left" w:pos="0" w:leader="none"/>
      </w:tabs>
      <w:spacing w:before="120" w:after="0"/>
      <w:ind w:hanging="432" w:start="864" w:end="0"/>
      <w:outlineLvl w:val="0"/>
    </w:pPr>
    <w:rPr>
      <w:b/>
      <w:bCs/>
      <w:sz w:val="28"/>
      <w:szCs w:val="28"/>
    </w:rPr>
  </w:style>
  <w:style w:type="paragraph" w:styleId="Heading2">
    <w:name w:val="heading 2"/>
    <w:basedOn w:val="Normal"/>
    <w:next w:val="Body2"/>
    <w:qFormat/>
    <w:pPr>
      <w:keepNext w:val="true"/>
      <w:numPr>
        <w:ilvl w:val="1"/>
        <w:numId w:val="1"/>
      </w:numPr>
      <w:tabs>
        <w:tab w:val="clear" w:pos="720"/>
        <w:tab w:val="left" w:pos="432" w:leader="none"/>
      </w:tabs>
      <w:spacing w:before="120" w:after="0"/>
      <w:ind w:hanging="432" w:start="1296" w:end="0"/>
      <w:outlineLvl w:val="1"/>
    </w:pPr>
    <w:rPr>
      <w:b/>
      <w:bCs/>
      <w:sz w:val="26"/>
      <w:szCs w:val="26"/>
    </w:rPr>
  </w:style>
  <w:style w:type="paragraph" w:styleId="Heading3">
    <w:name w:val="heading 3"/>
    <w:basedOn w:val="Heading2"/>
    <w:next w:val="Body3"/>
    <w:qFormat/>
    <w:pPr>
      <w:numPr>
        <w:ilvl w:val="2"/>
        <w:numId w:val="1"/>
      </w:numPr>
      <w:spacing w:before="60" w:after="0"/>
      <w:ind w:hanging="432" w:start="1728" w:end="0"/>
      <w:outlineLvl w:val="2"/>
    </w:pPr>
    <w:rPr>
      <w:sz w:val="23"/>
      <w:szCs w:val="23"/>
    </w:rPr>
  </w:style>
  <w:style w:type="paragraph" w:styleId="Heading4">
    <w:name w:val="heading 4"/>
    <w:basedOn w:val="Heading3"/>
    <w:next w:val="Body4"/>
    <w:qFormat/>
    <w:pPr>
      <w:numPr>
        <w:ilvl w:val="3"/>
        <w:numId w:val="1"/>
      </w:numPr>
      <w:ind w:hanging="432" w:start="2160" w:end="0"/>
      <w:outlineLvl w:val="3"/>
    </w:pPr>
    <w:rPr/>
  </w:style>
  <w:style w:type="paragraph" w:styleId="Heading5">
    <w:name w:val="heading 5"/>
    <w:basedOn w:val="Heading4"/>
    <w:next w:val="Body5"/>
    <w:qFormat/>
    <w:pPr>
      <w:numPr>
        <w:ilvl w:val="4"/>
        <w:numId w:val="1"/>
      </w:numPr>
      <w:ind w:hanging="432" w:start="2592" w:end="0"/>
      <w:outlineLvl w:val="4"/>
    </w:pPr>
    <w:rPr/>
  </w:style>
  <w:style w:type="paragraph" w:styleId="Heading6">
    <w:name w:val="heading 6"/>
    <w:basedOn w:val="Heading5"/>
    <w:next w:val="Body6"/>
    <w:qFormat/>
    <w:pPr>
      <w:numPr>
        <w:ilvl w:val="5"/>
        <w:numId w:val="1"/>
      </w:numPr>
      <w:tabs>
        <w:tab w:val="clear" w:pos="2160"/>
      </w:tabs>
      <w:ind w:hanging="720" w:start="3312" w:end="0"/>
      <w:outlineLvl w:val="5"/>
    </w:pPr>
    <w:rPr/>
  </w:style>
  <w:style w:type="paragraph" w:styleId="Heading7">
    <w:name w:val="heading 7"/>
    <w:basedOn w:val="Heading6"/>
    <w:next w:val="Body7"/>
    <w:qFormat/>
    <w:pPr>
      <w:numPr>
        <w:ilvl w:val="6"/>
        <w:numId w:val="1"/>
      </w:numPr>
      <w:tabs>
        <w:tab w:val="left" w:pos="2340" w:leader="none"/>
      </w:tabs>
      <w:ind w:hanging="720" w:start="3744" w:end="0"/>
      <w:outlineLvl w:val="6"/>
    </w:pPr>
    <w:rPr/>
  </w:style>
  <w:style w:type="paragraph" w:styleId="Heading8">
    <w:name w:val="heading 8"/>
    <w:basedOn w:val="Heading7"/>
    <w:next w:val="Body8"/>
    <w:qFormat/>
    <w:pPr>
      <w:numPr>
        <w:ilvl w:val="7"/>
        <w:numId w:val="1"/>
      </w:numPr>
      <w:tabs>
        <w:tab w:val="clear" w:pos="3060"/>
        <w:tab w:val="left" w:pos="2790" w:leader="none"/>
      </w:tabs>
      <w:ind w:hanging="720" w:start="4176" w:end="0"/>
      <w:outlineLvl w:val="7"/>
    </w:pPr>
    <w:rPr>
      <w:i/>
      <w:iCs/>
    </w:rPr>
  </w:style>
  <w:style w:type="paragraph" w:styleId="Heading9">
    <w:name w:val="heading 9"/>
    <w:basedOn w:val="Heading8"/>
    <w:next w:val="Body9"/>
    <w:qFormat/>
    <w:pPr>
      <w:numPr>
        <w:ilvl w:val="8"/>
        <w:numId w:val="1"/>
      </w:numPr>
      <w:tabs>
        <w:tab w:val="clear" w:pos="3510"/>
        <w:tab w:val="left" w:pos="3240" w:leader="none"/>
      </w:tabs>
      <w:ind w:hanging="720" w:start="4608" w:end="0"/>
      <w:outlineLvl w:val="8"/>
    </w:pPr>
    <w:rPr/>
  </w:style>
  <w:style w:type="character" w:styleId="DefaultParagraphFont">
    <w:name w:val="Default Paragraph Font"/>
    <w:qFormat/>
    <w:rPr/>
  </w:style>
  <w:style w:type="character" w:styleId="FootnoteCharacters">
    <w:name w:val="Footnote Characters"/>
    <w:basedOn w:val="DefaultParagraphFont"/>
    <w:qFormat/>
    <w:rPr>
      <w:rFonts w:ascii="Arial" w:hAnsi="Arial" w:eastAsia="Arial" w:cs="Arial"/>
      <w:b/>
      <w:bCs/>
      <w:color w:val="auto"/>
      <w:spacing w:val="0"/>
      <w:kern w:val="0"/>
      <w:position w:val="0"/>
      <w:sz w:val="24"/>
      <w:sz w:val="24"/>
      <w:szCs w:val="24"/>
      <w:vertAlign w:val="baseline"/>
    </w:rPr>
  </w:style>
  <w:style w:type="character" w:styleId="PageNumber">
    <w:name w:val="page number"/>
    <w:basedOn w:val="DefaultParagraphFont"/>
    <w:rPr/>
  </w:style>
  <w:style w:type="character" w:styleId="LineNumber">
    <w:name w:val="line number"/>
    <w:basedOn w:val="DefaultParagraphFont"/>
    <w:rPr>
      <w:rFonts w:ascii="Arial" w:hAnsi="Arial" w:eastAsia="Arial" w:cs="Arial"/>
      <w:color w:val="auto"/>
      <w:position w:val="0"/>
      <w:sz w:val="20"/>
      <w:sz w:val="20"/>
      <w:szCs w:val="20"/>
      <w:vertAlign w:val="baseline"/>
    </w:rPr>
  </w:style>
  <w:style w:type="character" w:styleId="Hyperlink">
    <w:name w:val="Hyperlink"/>
    <w:rPr>
      <w:color w:val="000080"/>
      <w:u w:val="single"/>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2">
    <w:name w:val="Body 2"/>
    <w:basedOn w:val="Normal"/>
    <w:qFormat/>
    <w:pPr>
      <w:ind w:firstLine="432" w:start="864" w:end="0"/>
    </w:pPr>
    <w:rPr>
      <w:color w:val="auto"/>
    </w:rPr>
  </w:style>
  <w:style w:type="paragraph" w:styleId="Body3">
    <w:name w:val="Body 3"/>
    <w:basedOn w:val="Body2"/>
    <w:qFormat/>
    <w:pPr>
      <w:ind w:firstLine="432" w:start="1296" w:end="0"/>
    </w:pPr>
    <w:rPr/>
  </w:style>
  <w:style w:type="paragraph" w:styleId="Body4">
    <w:name w:val="Body 4"/>
    <w:basedOn w:val="Body3"/>
    <w:qFormat/>
    <w:pPr>
      <w:ind w:firstLine="432" w:start="1728" w:end="0"/>
    </w:pPr>
    <w:rPr/>
  </w:style>
  <w:style w:type="paragraph" w:styleId="Body5">
    <w:name w:val="Body 5"/>
    <w:basedOn w:val="Body4"/>
    <w:qFormat/>
    <w:pPr>
      <w:ind w:firstLine="432" w:start="216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ind w:hanging="0" w:start="0" w:end="0"/>
    </w:pPr>
    <w:rPr/>
  </w:style>
  <w:style w:type="paragraph" w:styleId="QNum">
    <w:name w:val="QNum"/>
    <w:basedOn w:val="Normal"/>
    <w:qFormat/>
    <w:pPr>
      <w:tabs>
        <w:tab w:val="clear" w:pos="720"/>
        <w:tab w:val="left" w:pos="1440" w:leader="none"/>
        <w:tab w:val="left" w:pos="2160" w:leader="none"/>
        <w:tab w:val="left" w:pos="2880" w:leader="none"/>
      </w:tabs>
      <w:ind w:hanging="864" w:start="864" w:end="0"/>
    </w:pPr>
    <w:rPr>
      <w:color w:val="auto"/>
    </w:rPr>
  </w:style>
  <w:style w:type="paragraph" w:styleId="Bullet0">
    <w:name w:val="Bullet 0"/>
    <w:basedOn w:val="Normal"/>
    <w:qFormat/>
    <w:pPr>
      <w:numPr>
        <w:ilvl w:val="0"/>
        <w:numId w:val="2"/>
      </w:numPr>
      <w:spacing w:before="0" w:after="120"/>
      <w:ind w:hanging="432" w:start="432" w:end="0"/>
    </w:pPr>
    <w:rPr/>
  </w:style>
  <w:style w:type="paragraph" w:styleId="Bullet1">
    <w:name w:val="Bullet 1"/>
    <w:basedOn w:val="Bullet0"/>
    <w:qFormat/>
    <w:pPr>
      <w:ind w:hanging="432" w:start="864" w:end="0"/>
    </w:pPr>
    <w:rPr/>
  </w:style>
  <w:style w:type="paragraph" w:styleId="Bullet2">
    <w:name w:val="Bullet 2"/>
    <w:basedOn w:val="Bullet1"/>
    <w:qFormat/>
    <w:pPr>
      <w:ind w:hanging="432" w:start="1296" w:end="0"/>
    </w:pPr>
    <w:rPr/>
  </w:style>
  <w:style w:type="paragraph" w:styleId="Bullet3">
    <w:name w:val="Bullet 3"/>
    <w:basedOn w:val="Bullet2"/>
    <w:qFormat/>
    <w:pPr>
      <w:ind w:hanging="432" w:start="1728" w:end="0"/>
    </w:pPr>
    <w:rPr/>
  </w:style>
  <w:style w:type="paragraph" w:styleId="Bullet4">
    <w:name w:val="Bullet 4"/>
    <w:basedOn w:val="Bullet3"/>
    <w:qFormat/>
    <w:pPr>
      <w:ind w:hanging="432" w:start="2160" w:end="0"/>
    </w:pPr>
    <w:rPr/>
  </w:style>
  <w:style w:type="paragraph" w:styleId="Bullet5">
    <w:name w:val="Bullet 5"/>
    <w:basedOn w:val="Bullet4"/>
    <w:qFormat/>
    <w:pPr>
      <w:ind w:hanging="432" w:start="2592" w:end="0"/>
    </w:pPr>
    <w:rPr/>
  </w:style>
  <w:style w:type="paragraph" w:styleId="BodyText2">
    <w:name w:val="Body Text 2"/>
    <w:basedOn w:val="Normal"/>
    <w:qFormat/>
    <w:pPr>
      <w:ind w:hanging="450" w:start="450" w:end="0"/>
    </w:pPr>
    <w:rPr/>
  </w:style>
  <w:style w:type="paragraph" w:styleId="FootnoteText">
    <w:name w:val="footnote text"/>
    <w:basedOn w:val="Normal"/>
    <w:pPr>
      <w:keepLines/>
      <w:spacing w:lineRule="exact" w:line="240" w:before="60" w:after="60"/>
      <w:ind w:hanging="720" w:start="720" w:end="0"/>
    </w:pPr>
    <w:rPr/>
  </w:style>
  <w:style w:type="paragraph" w:styleId="TOC1">
    <w:name w:val="toc 1"/>
    <w:basedOn w:val="Normal"/>
    <w:next w:val="Normal"/>
    <w:pPr>
      <w:tabs>
        <w:tab w:val="clear" w:pos="720"/>
        <w:tab w:val="right" w:pos="9000" w:leader="dot"/>
      </w:tabs>
      <w:spacing w:lineRule="atLeast" w:line="220" w:before="0" w:after="220"/>
      <w:ind w:hanging="360" w:start="360" w:end="720"/>
    </w:pPr>
    <w:rPr>
      <w:color w:val="auto"/>
    </w:rPr>
  </w:style>
  <w:style w:type="paragraph" w:styleId="TOC2">
    <w:name w:val="toc 2"/>
    <w:basedOn w:val="Normal"/>
    <w:next w:val="Normal"/>
    <w:pPr>
      <w:tabs>
        <w:tab w:val="clear" w:pos="720"/>
        <w:tab w:val="right" w:pos="9000" w:leader="dot"/>
      </w:tabs>
      <w:spacing w:lineRule="atLeast" w:line="220" w:before="0" w:after="220"/>
      <w:ind w:hanging="360" w:start="720" w:end="720"/>
    </w:pPr>
    <w:rPr>
      <w:color w:val="auto"/>
    </w:rPr>
  </w:style>
  <w:style w:type="paragraph" w:styleId="TOC3">
    <w:name w:val="toc 3"/>
    <w:basedOn w:val="TOC2"/>
    <w:next w:val="Normal"/>
    <w:pPr>
      <w:ind w:hanging="360" w:start="1080" w:end="720"/>
    </w:pPr>
    <w:rPr/>
  </w:style>
  <w:style w:type="paragraph" w:styleId="TOC4">
    <w:name w:val="toc 4"/>
    <w:basedOn w:val="TOC3"/>
    <w:next w:val="Normal"/>
    <w:pPr>
      <w:tabs>
        <w:tab w:val="right" w:pos="9000" w:leader="dot"/>
        <w:tab w:val="right" w:pos="9360" w:leader="dot"/>
      </w:tabs>
      <w:ind w:hanging="360" w:start="1440" w:end="720"/>
    </w:pPr>
    <w:rPr/>
  </w:style>
  <w:style w:type="paragraph" w:styleId="TOC5">
    <w:name w:val="toc 5"/>
    <w:basedOn w:val="TOC4"/>
    <w:next w:val="Normal"/>
    <w:pPr>
      <w:tabs>
        <w:tab w:val="right" w:pos="9000" w:leader="dot"/>
        <w:tab w:val="right" w:pos="9360" w:leader="none"/>
      </w:tabs>
      <w:ind w:hanging="360" w:start="965" w:end="720"/>
    </w:pPr>
    <w:rPr/>
  </w:style>
  <w:style w:type="paragraph" w:styleId="TableCaption">
    <w:name w:val="Table Caption"/>
    <w:basedOn w:val="Body2"/>
    <w:qFormat/>
    <w:pPr>
      <w:keepNext w:val="true"/>
      <w:keepLines/>
      <w:spacing w:lineRule="atLeast" w:line="240" w:before="440" w:after="220"/>
      <w:ind w:hanging="0" w:start="0" w:end="0"/>
      <w:jc w:val="center"/>
    </w:pPr>
    <w:rPr>
      <w:b/>
      <w:bCs/>
      <w:caps/>
      <w:sz w:val="20"/>
      <w:szCs w:val="20"/>
    </w:rPr>
  </w:style>
  <w:style w:type="paragraph" w:styleId="Table">
    <w:name w:val="Table"/>
    <w:basedOn w:val="Body2"/>
    <w:qFormat/>
    <w:pPr>
      <w:keepNext w:val="true"/>
      <w:keepLines/>
      <w:spacing w:lineRule="auto" w:line="240"/>
      <w:ind w:hanging="0" w:start="0" w:end="0"/>
    </w:pPr>
    <w:rPr>
      <w:sz w:val="20"/>
      <w:szCs w:val="20"/>
    </w:rPr>
  </w:style>
  <w:style w:type="paragraph" w:styleId="Table-FirstRow">
    <w:name w:val="Table - First Row"/>
    <w:basedOn w:val="Table"/>
    <w:qFormat/>
    <w:pPr>
      <w:spacing w:before="120" w:after="0"/>
    </w:pPr>
    <w:rPr/>
  </w:style>
  <w:style w:type="paragraph" w:styleId="LineNumber-Testimony">
    <w:name w:val="Line Number - Testimony"/>
    <w:qFormat/>
    <w:pPr>
      <w:widowControl/>
      <w:bidi w:val="0"/>
      <w:spacing w:lineRule="exact" w:line="240"/>
      <w:jc w:val="end"/>
    </w:pPr>
    <w:rPr>
      <w:rFonts w:ascii="Arial" w:hAnsi="Arial" w:eastAsia="Arial" w:cs="Arial"/>
      <w:color w:val="auto"/>
      <w:sz w:val="20"/>
      <w:szCs w:val="20"/>
      <w:lang w:val="en-US" w:eastAsia="zh-CN" w:bidi="hi-IN"/>
    </w:rPr>
  </w:style>
  <w:style w:type="paragraph" w:styleId="ANum">
    <w:name w:val="ANum"/>
    <w:basedOn w:val="Normal"/>
    <w:qFormat/>
    <w:pPr>
      <w:tabs>
        <w:tab w:val="clear" w:pos="720"/>
        <w:tab w:val="left" w:pos="1440" w:leader="none"/>
        <w:tab w:val="left" w:pos="2160" w:leader="none"/>
        <w:tab w:val="left" w:pos="2880" w:leader="none"/>
      </w:tabs>
      <w:ind w:hanging="864" w:start="864" w:end="0"/>
    </w:pPr>
    <w:rPr>
      <w:color w:val="auto"/>
    </w:rPr>
  </w:style>
  <w:style w:type="paragraph" w:styleId="Quotation2">
    <w:name w:val="Quotation 2"/>
    <w:basedOn w:val="Body2"/>
    <w:qFormat/>
    <w:pPr>
      <w:spacing w:lineRule="exact" w:line="240" w:before="120" w:after="120"/>
      <w:ind w:hanging="0" w:start="1296" w:end="0"/>
    </w:pPr>
    <w:rPr/>
  </w:style>
  <w:style w:type="paragraph" w:styleId="Quotation3">
    <w:name w:val="Quotation 3"/>
    <w:basedOn w:val="Quotation2"/>
    <w:qFormat/>
    <w:pPr>
      <w:ind w:hanging="0" w:start="1728" w:end="0"/>
    </w:pPr>
    <w:rPr/>
  </w:style>
  <w:style w:type="paragraph" w:styleId="Quotation4">
    <w:name w:val="Quotation 4"/>
    <w:basedOn w:val="Quotation3"/>
    <w:qFormat/>
    <w:pPr>
      <w:ind w:hanging="0" w:start="2160" w:end="0"/>
    </w:pPr>
    <w:rPr/>
  </w:style>
  <w:style w:type="paragraph" w:styleId="TOCTitle">
    <w:name w:val="TOC Title"/>
    <w:basedOn w:val="Normal"/>
    <w:qFormat/>
    <w:pPr>
      <w:spacing w:lineRule="atLeast" w:line="240" w:before="240" w:after="240"/>
      <w:ind w:hanging="0" w:start="0" w:end="0"/>
      <w:jc w:val="center"/>
    </w:pPr>
    <w:rPr>
      <w:caps/>
    </w:rPr>
  </w:style>
  <w:style w:type="paragraph" w:styleId="TOC6">
    <w:name w:val="toc 6"/>
    <w:basedOn w:val="TOC5"/>
    <w:next w:val="Normal"/>
    <w:pPr>
      <w:ind w:hanging="360" w:start="1195" w:end="720"/>
    </w:pPr>
    <w:rPr/>
  </w:style>
  <w:style w:type="paragraph" w:styleId="TOC7">
    <w:name w:val="toc 7"/>
    <w:basedOn w:val="TOC6"/>
    <w:next w:val="Normal"/>
    <w:pPr>
      <w:ind w:hanging="360" w:start="1440" w:end="720"/>
    </w:pPr>
    <w:rPr/>
  </w:style>
  <w:style w:type="paragraph" w:styleId="TOC8">
    <w:name w:val="toc 8"/>
    <w:basedOn w:val="TOC7"/>
    <w:next w:val="Normal"/>
    <w:pPr>
      <w:ind w:hanging="360" w:start="1685" w:end="720"/>
    </w:pPr>
    <w:rPr/>
  </w:style>
  <w:style w:type="paragraph" w:styleId="TOC9">
    <w:name w:val="toc 9"/>
    <w:basedOn w:val="TOC8"/>
    <w:next w:val="Normal"/>
    <w:pPr>
      <w:ind w:hanging="360" w:start="1915" w:end="720"/>
    </w:pPr>
    <w:rPr/>
  </w:style>
  <w:style w:type="paragraph" w:styleId="Quotation5">
    <w:name w:val="Quotation 5"/>
    <w:basedOn w:val="Quotation4"/>
    <w:qFormat/>
    <w:pPr>
      <w:ind w:hanging="0" w:start="2592" w:end="0"/>
    </w:pPr>
    <w:rPr/>
  </w:style>
  <w:style w:type="paragraph" w:styleId="Footer">
    <w:name w:val="footer"/>
    <w:basedOn w:val="Normal"/>
    <w:pPr>
      <w:ind w:hanging="0" w:start="0" w:end="0"/>
    </w:pPr>
    <w:rPr/>
  </w:style>
  <w:style w:type="paragraph" w:styleId="BodyTextIndent2">
    <w:name w:val="Body Text Indent 2"/>
    <w:basedOn w:val="Normal"/>
    <w:qFormat/>
    <w:pPr>
      <w:ind w:firstLine="450" w:start="720" w:end="0"/>
    </w:pPr>
    <w:rPr/>
  </w:style>
  <w:style w:type="paragraph" w:styleId="Body6">
    <w:name w:val="Body 6"/>
    <w:basedOn w:val="Body5"/>
    <w:qFormat/>
    <w:pPr>
      <w:ind w:firstLine="432" w:start="2592" w:end="0"/>
    </w:pPr>
    <w:rPr/>
  </w:style>
  <w:style w:type="paragraph" w:styleId="Bullet6">
    <w:name w:val="Bullet 6"/>
    <w:basedOn w:val="Bullet5"/>
    <w:qFormat/>
    <w:pPr>
      <w:ind w:hanging="432" w:start="3024" w:end="0"/>
    </w:pPr>
    <w:rPr/>
  </w:style>
  <w:style w:type="paragraph" w:styleId="Quotation6">
    <w:name w:val="Quotation 6"/>
    <w:basedOn w:val="Quotation5"/>
    <w:qFormat/>
    <w:pPr>
      <w:ind w:hanging="0" w:start="3024" w:end="0"/>
    </w:pPr>
    <w:rPr/>
  </w:style>
  <w:style w:type="paragraph" w:styleId="Body7">
    <w:name w:val="Body 7"/>
    <w:basedOn w:val="Body6"/>
    <w:qFormat/>
    <w:pPr>
      <w:ind w:firstLine="432" w:start="3024" w:end="0"/>
    </w:pPr>
    <w:rPr/>
  </w:style>
  <w:style w:type="paragraph" w:styleId="Bullet7">
    <w:name w:val="Bullet 7"/>
    <w:basedOn w:val="Bullet6"/>
    <w:qFormat/>
    <w:pPr>
      <w:ind w:hanging="432" w:start="3456" w:end="0"/>
    </w:pPr>
    <w:rPr/>
  </w:style>
  <w:style w:type="paragraph" w:styleId="Quotation7">
    <w:name w:val="Quotation 7"/>
    <w:basedOn w:val="Quotation6"/>
    <w:qFormat/>
    <w:pPr>
      <w:ind w:hanging="0" w:start="3456" w:end="0"/>
    </w:pPr>
    <w:rPr/>
  </w:style>
  <w:style w:type="paragraph" w:styleId="Body8">
    <w:name w:val="Body 8"/>
    <w:basedOn w:val="Body7"/>
    <w:qFormat/>
    <w:pPr>
      <w:ind w:firstLine="432" w:start="3456" w:end="0"/>
    </w:pPr>
    <w:rPr/>
  </w:style>
  <w:style w:type="paragraph" w:styleId="Bullet8">
    <w:name w:val="Bullet 8"/>
    <w:basedOn w:val="Bullet7"/>
    <w:qFormat/>
    <w:pPr>
      <w:ind w:hanging="432" w:start="3888" w:end="0"/>
    </w:pPr>
    <w:rPr/>
  </w:style>
  <w:style w:type="paragraph" w:styleId="Quotation8">
    <w:name w:val="Quotation 8"/>
    <w:basedOn w:val="Quotation7"/>
    <w:qFormat/>
    <w:pPr>
      <w:ind w:hanging="0" w:start="3888" w:end="0"/>
    </w:pPr>
    <w:rPr/>
  </w:style>
  <w:style w:type="paragraph" w:styleId="Body9">
    <w:name w:val="Body 9"/>
    <w:basedOn w:val="Body8"/>
    <w:qFormat/>
    <w:pPr>
      <w:ind w:firstLine="432" w:start="3888" w:end="0"/>
    </w:pPr>
    <w:rPr/>
  </w:style>
  <w:style w:type="paragraph" w:styleId="Bullet9">
    <w:name w:val="Bullet 9"/>
    <w:basedOn w:val="Bullet8"/>
    <w:qFormat/>
    <w:pPr>
      <w:ind w:hanging="432" w:start="4320" w:end="0"/>
    </w:pPr>
    <w:rPr/>
  </w:style>
  <w:style w:type="paragraph" w:styleId="Body0">
    <w:name w:val="Body 0"/>
    <w:basedOn w:val="Normal"/>
    <w:qFormat/>
    <w:pPr/>
    <w:rPr/>
  </w:style>
  <w:style w:type="paragraph" w:styleId="Body1">
    <w:name w:val="Body 1"/>
    <w:basedOn w:val="Body0"/>
    <w:qFormat/>
    <w:pPr>
      <w:ind w:firstLine="432" w:start="432" w:end="0"/>
    </w:pPr>
    <w:rPr/>
  </w:style>
  <w:style w:type="paragraph" w:styleId="Quotation0">
    <w:name w:val="Quotation 0"/>
    <w:basedOn w:val="Normal"/>
    <w:qFormat/>
    <w:pPr>
      <w:spacing w:lineRule="exact" w:line="240" w:before="120" w:after="120"/>
      <w:ind w:hanging="0" w:start="288" w:end="0"/>
    </w:pPr>
    <w:rPr/>
  </w:style>
  <w:style w:type="paragraph" w:styleId="Quotation1">
    <w:name w:val="Quotation 1"/>
    <w:basedOn w:val="Quotation0"/>
    <w:qFormat/>
    <w:pPr>
      <w:ind w:hanging="0" w:start="864" w:end="0"/>
    </w:pPr>
    <w:rPr/>
  </w:style>
  <w:style w:type="paragraph" w:styleId="Table-LastRow">
    <w:name w:val="Table - Last Row"/>
    <w:basedOn w:val="Table"/>
    <w:qFormat/>
    <w:pPr>
      <w:keepNext w:val="false"/>
      <w:spacing w:before="120" w:after="0"/>
    </w:pPr>
    <w:rPr/>
  </w:style>
  <w:style w:type="paragraph" w:styleId="CoverTitle">
    <w:name w:val="Cover Title"/>
    <w:qFormat/>
    <w:pPr>
      <w:widowControl/>
      <w:bidi w:val="0"/>
      <w:spacing w:lineRule="exact" w:line="560" w:before="3000" w:after="0"/>
      <w:jc w:val="center"/>
    </w:pPr>
    <w:rPr>
      <w:rFonts w:ascii="Arial" w:hAnsi="Arial" w:eastAsia="Arial" w:cs="Arial"/>
      <w:b/>
      <w:bCs/>
      <w:color w:val="000000"/>
      <w:spacing w:val="10"/>
      <w:sz w:val="28"/>
      <w:szCs w:val="28"/>
      <w:lang w:val="en-US" w:eastAsia="zh-CN" w:bidi="hi-IN"/>
    </w:rPr>
  </w:style>
  <w:style w:type="paragraph" w:styleId="TITLE1">
    <w:name w:val="TITLE 1"/>
    <w:basedOn w:val="Normal"/>
    <w:qFormat/>
    <w:pPr>
      <w:ind w:hanging="0" w:start="0" w:end="0"/>
      <w:jc w:val="center"/>
    </w:pPr>
    <w:rPr>
      <w:b/>
      <w:bCs/>
      <w:sz w:val="28"/>
      <w:szCs w:val="28"/>
    </w:rPr>
  </w:style>
  <w:style w:type="paragraph" w:styleId="TITLE2">
    <w:name w:val="TITLE 2"/>
    <w:basedOn w:val="TITLE1"/>
    <w:qFormat/>
    <w:pPr/>
    <w:rPr/>
  </w:style>
  <w:style w:type="paragraph" w:styleId="TITLE3">
    <w:name w:val="TITLE 3"/>
    <w:basedOn w:val="TITLE2"/>
    <w:next w:val="Heading1"/>
    <w:qFormat/>
    <w:pPr>
      <w:spacing w:before="0" w:after="360"/>
    </w:pPr>
    <w:rPr/>
  </w:style>
  <w:style w:type="paragraph" w:styleId="EndTableTitle">
    <w:name w:val="End Table Title"/>
    <w:basedOn w:val="TITLE3"/>
    <w:qFormat/>
    <w:pPr>
      <w:spacing w:lineRule="auto" w:line="240" w:before="0" w:after="240"/>
    </w:pPr>
    <w:rPr>
      <w:b w:val="false"/>
      <w:bCs w:val="false"/>
      <w:sz w:val="24"/>
      <w:szCs w:val="24"/>
    </w:rPr>
  </w:style>
  <w:style w:type="paragraph" w:styleId="Quotation9">
    <w:name w:val="Quotation 9"/>
    <w:basedOn w:val="Quotation8"/>
    <w:qFormat/>
    <w:pPr>
      <w:ind w:hanging="0" w:start="4320" w:end="0"/>
    </w:pPr>
    <w:rPr/>
  </w:style>
  <w:style w:type="paragraph" w:styleId="QA-text">
    <w:name w:val="QA-text"/>
    <w:basedOn w:val="Normal"/>
    <w:qFormat/>
    <w:pPr>
      <w:ind w:firstLine="432" w:start="864" w:end="0"/>
    </w:pPr>
    <w:rPr>
      <w:color w:val="auto"/>
    </w:rPr>
  </w:style>
  <w:style w:type="paragraph" w:styleId="Body0-list">
    <w:name w:val="Body 0 - list"/>
    <w:basedOn w:val="BodyText2"/>
    <w:qFormat/>
    <w:pPr>
      <w:ind w:hanging="446" w:start="446" w:end="0"/>
    </w:pPr>
    <w:rPr/>
  </w:style>
  <w:style w:type="paragraph" w:styleId="Body0-noindent">
    <w:name w:val="Body 0 - no indent"/>
    <w:basedOn w:val="BodyText"/>
    <w:qFormat/>
    <w:pPr/>
    <w:rPr/>
  </w:style>
  <w:style w:type="paragraph" w:styleId="Body1-list">
    <w:name w:val="Body 1 - list"/>
    <w:basedOn w:val="Body0-list"/>
    <w:qFormat/>
    <w:pPr>
      <w:ind w:hanging="432" w:start="864" w:end="0"/>
    </w:pPr>
    <w:rPr/>
  </w:style>
  <w:style w:type="paragraph" w:styleId="Body1-noindent">
    <w:name w:val="Body 1 - no indent"/>
    <w:basedOn w:val="Body0-noindent"/>
    <w:qFormat/>
    <w:pPr>
      <w:ind w:hanging="0" w:start="432" w:end="0"/>
    </w:pPr>
    <w:rPr/>
  </w:style>
  <w:style w:type="paragraph" w:styleId="Body2-list">
    <w:name w:val="Body 2 - list"/>
    <w:basedOn w:val="Body1-list"/>
    <w:qFormat/>
    <w:pPr>
      <w:ind w:hanging="432" w:start="1296" w:end="0"/>
    </w:pPr>
    <w:rPr/>
  </w:style>
  <w:style w:type="paragraph" w:styleId="Body2-noindent">
    <w:name w:val="Body 2 - no indent"/>
    <w:basedOn w:val="Body1-noindent"/>
    <w:qFormat/>
    <w:pPr>
      <w:ind w:hanging="0" w:start="864" w:end="0"/>
    </w:pPr>
    <w:rPr/>
  </w:style>
  <w:style w:type="paragraph" w:styleId="Body3-list">
    <w:name w:val="Body 3 - list"/>
    <w:basedOn w:val="Body2-list"/>
    <w:qFormat/>
    <w:pPr>
      <w:ind w:hanging="432" w:start="1728" w:end="0"/>
    </w:pPr>
    <w:rPr/>
  </w:style>
  <w:style w:type="paragraph" w:styleId="Body3-noindent">
    <w:name w:val="Body 3 - no indent"/>
    <w:basedOn w:val="Body2-noindent"/>
    <w:qFormat/>
    <w:pPr>
      <w:ind w:hanging="0" w:start="1296" w:end="0"/>
    </w:pPr>
    <w:rPr/>
  </w:style>
  <w:style w:type="paragraph" w:styleId="QABodyText">
    <w:name w:val="Q&amp;A Body Text"/>
    <w:basedOn w:val="QA-text"/>
    <w:qFormat/>
    <w:pPr/>
    <w:rPr/>
  </w:style>
  <w:style w:type="paragraph" w:styleId="Body4-list">
    <w:name w:val="Body 4 - list"/>
    <w:basedOn w:val="Body3-list"/>
    <w:qFormat/>
    <w:pPr>
      <w:ind w:hanging="432" w:start="2160" w:end="0"/>
    </w:pPr>
    <w:rPr/>
  </w:style>
  <w:style w:type="paragraph" w:styleId="Body4-noindent">
    <w:name w:val="Body 4 - no indent"/>
    <w:basedOn w:val="Body3-noindent"/>
    <w:qFormat/>
    <w:pPr>
      <w:ind w:hanging="0" w:start="1728" w:end="0"/>
    </w:pPr>
    <w:rPr/>
  </w:style>
  <w:style w:type="paragraph" w:styleId="Body5-list">
    <w:name w:val="Body 5 - list"/>
    <w:basedOn w:val="Body4-list"/>
    <w:qFormat/>
    <w:pPr>
      <w:ind w:hanging="432" w:start="2592" w:end="0"/>
    </w:pPr>
    <w:rPr/>
  </w:style>
  <w:style w:type="paragraph" w:styleId="Body5-noindent">
    <w:name w:val="Body 5 - no indent"/>
    <w:basedOn w:val="Body4-noindent"/>
    <w:qFormat/>
    <w:pPr>
      <w:ind w:hanging="0" w:start="2160" w:end="0"/>
    </w:pPr>
    <w:rPr/>
  </w:style>
  <w:style w:type="paragraph" w:styleId="Body6-list">
    <w:name w:val="Body 6 - list"/>
    <w:basedOn w:val="Body5-list"/>
    <w:qFormat/>
    <w:pPr>
      <w:ind w:hanging="432" w:start="3024" w:end="0"/>
    </w:pPr>
    <w:rPr/>
  </w:style>
  <w:style w:type="paragraph" w:styleId="Body6-noindent">
    <w:name w:val="Body 6 - no indent"/>
    <w:basedOn w:val="Body5-noindent"/>
    <w:qFormat/>
    <w:pPr>
      <w:ind w:hanging="0" w:start="2592" w:end="0"/>
    </w:pPr>
    <w:rPr/>
  </w:style>
  <w:style w:type="paragraph" w:styleId="Body7-list">
    <w:name w:val="Body 7 - list"/>
    <w:basedOn w:val="Body6-list"/>
    <w:qFormat/>
    <w:pPr>
      <w:ind w:hanging="432" w:start="3456" w:end="0"/>
    </w:pPr>
    <w:rPr/>
  </w:style>
  <w:style w:type="paragraph" w:styleId="Body7-noindent">
    <w:name w:val="Body 7 - no indent"/>
    <w:basedOn w:val="Body6-noindent"/>
    <w:qFormat/>
    <w:pPr>
      <w:ind w:hanging="0" w:start="3024" w:end="0"/>
    </w:pPr>
    <w:rPr/>
  </w:style>
  <w:style w:type="paragraph" w:styleId="Body8-list">
    <w:name w:val="Body 8 - list"/>
    <w:basedOn w:val="Body7-list"/>
    <w:qFormat/>
    <w:pPr>
      <w:ind w:hanging="432" w:start="3888" w:end="0"/>
    </w:pPr>
    <w:rPr/>
  </w:style>
  <w:style w:type="paragraph" w:styleId="Body8-noindent">
    <w:name w:val="Body 8 - no indent"/>
    <w:basedOn w:val="Body7-noindent"/>
    <w:qFormat/>
    <w:pPr>
      <w:ind w:hanging="0" w:start="3456" w:end="0"/>
    </w:pPr>
    <w:rPr/>
  </w:style>
  <w:style w:type="paragraph" w:styleId="Body9-list">
    <w:name w:val="Body 9 - list"/>
    <w:basedOn w:val="Normal"/>
    <w:qFormat/>
    <w:pPr>
      <w:ind w:hanging="432" w:start="4320" w:end="0"/>
    </w:pPr>
    <w:rPr/>
  </w:style>
  <w:style w:type="paragraph" w:styleId="Body9-noindent">
    <w:name w:val="Body 9 - no indent"/>
    <w:basedOn w:val="Normal"/>
    <w:qFormat/>
    <w:pPr>
      <w:ind w:hanging="0" w:start="3888" w:end="0"/>
    </w:pPr>
    <w:rPr/>
  </w:style>
  <w:style w:type="paragraph" w:styleId="QA-bullet">
    <w:name w:val="QA-bullet"/>
    <w:basedOn w:val="Bullet2"/>
    <w:qFormat/>
    <w:pPr/>
    <w:rPr/>
  </w:style>
  <w:style w:type="paragraph" w:styleId="QA-bullet2">
    <w:name w:val="QA-bullet2"/>
    <w:basedOn w:val="Bullet3"/>
    <w:qFormat/>
    <w:pPr/>
    <w:rPr/>
  </w:style>
  <w:style w:type="paragraph" w:styleId="TableFootnote">
    <w:name w:val="Table Footnote"/>
    <w:basedOn w:val="FootnoteText"/>
    <w:qFormat/>
    <w:pPr/>
    <w:rPr/>
  </w:style>
  <w:style w:type="paragraph" w:styleId="Bullet0-indent">
    <w:name w:val="Bullet 0 - indent"/>
    <w:basedOn w:val="Body1"/>
    <w:qFormat/>
    <w:pPr>
      <w:spacing w:before="0" w:after="120"/>
    </w:pPr>
    <w:rPr/>
  </w:style>
  <w:style w:type="paragraph" w:styleId="TableFootnote2">
    <w:name w:val="Table Footnote2"/>
    <w:basedOn w:val="BodyTextIndent2"/>
    <w:qFormat/>
    <w:pPr>
      <w:spacing w:lineRule="exact" w:line="240" w:before="0" w:after="60"/>
      <w:ind w:firstLine="432" w:start="720" w:end="0"/>
    </w:pPr>
    <w:rPr/>
  </w:style>
  <w:style w:type="paragraph" w:styleId="FootnoteText2">
    <w:name w:val="Footnote Text2"/>
    <w:basedOn w:val="TableFootnote2"/>
    <w:qFormat/>
    <w:pPr>
      <w:keepLines/>
      <w:spacing w:before="60" w:after="60"/>
      <w:ind w:hanging="0" w:start="720" w:end="0"/>
    </w:pPr>
    <w:rPr/>
  </w:style>
  <w:style w:type="paragraph" w:styleId="EndTableFootnote">
    <w:name w:val="End Table Footnote"/>
    <w:basedOn w:val="TableFootnote"/>
    <w:qFormat/>
    <w:pPr>
      <w:spacing w:lineRule="auto" w:line="240" w:before="0" w:after="0"/>
    </w:pPr>
    <w:rPr>
      <w:sz w:val="20"/>
      <w:szCs w:val="20"/>
    </w:rPr>
  </w:style>
  <w:style w:type="paragraph" w:styleId="EndTableFoot2">
    <w:name w:val="End Table Foot2"/>
    <w:basedOn w:val="TableFootnote2"/>
    <w:qFormat/>
    <w:pPr>
      <w:keepLines/>
      <w:spacing w:before="60" w:after="60"/>
      <w:ind w:hanging="0" w:start="720" w:end="0"/>
    </w:pPr>
    <w:rPr/>
  </w:style>
  <w:style w:type="paragraph" w:styleId="Bullet1-indent">
    <w:name w:val="Bullet 1 - indent"/>
    <w:basedOn w:val="Body2"/>
    <w:qFormat/>
    <w:pPr>
      <w:spacing w:before="0" w:after="120"/>
    </w:pPr>
    <w:rPr/>
  </w:style>
  <w:style w:type="paragraph" w:styleId="Bullet2-indent">
    <w:name w:val="Bullet 2 - indent"/>
    <w:basedOn w:val="Body3"/>
    <w:qFormat/>
    <w:pPr>
      <w:spacing w:before="0" w:after="120"/>
    </w:pPr>
    <w:rPr/>
  </w:style>
  <w:style w:type="paragraph" w:styleId="Bullet3-indent">
    <w:name w:val="Bullet 3 - indent"/>
    <w:basedOn w:val="Body4"/>
    <w:qFormat/>
    <w:pPr>
      <w:spacing w:before="0" w:after="120"/>
    </w:pPr>
    <w:rPr/>
  </w:style>
  <w:style w:type="paragraph" w:styleId="Bullet4-indent">
    <w:name w:val="Bullet 4 - indent"/>
    <w:basedOn w:val="Body4"/>
    <w:qFormat/>
    <w:pPr>
      <w:spacing w:before="0" w:after="120"/>
      <w:ind w:firstLine="432" w:start="216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97W-Testimony.dot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2000-11-16T17:26:00Z</dcterms:created>
  <dc:creator>Chris Warner</dc:creator>
  <dc:description/>
  <dc:language>en-CA</dc:language>
  <cp:lastModifiedBy>Chris Warner</cp:lastModifiedBy>
  <cp:lastPrinted>2000-11-09T14:52:00Z</cp:lastPrinted>
  <dcterms:modified xsi:type="dcterms:W3CDTF">2000-11-16T17:26:00Z</dcterms:modified>
  <cp:revision>2</cp:revision>
  <dc:subject/>
  <dc:title> TITLE </dc:title>
</cp:coreProperties>
</file>