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spacing w:before="240" w:after="60"/>
        <w:rPr>
          <w:rFonts w:cs="Arial"/>
          <w:b/>
          <w:sz w:val="16"/>
          <w:u w:val="single"/>
        </w:rPr>
      </w:pPr>
      <w:r>
        <w:rPr>
          <w:rFonts w:cs="Arial"/>
          <w:b/>
          <w:sz w:val="16"/>
          <w:u w:val="single"/>
        </w:rPr>
      </w:r>
    </w:p>
    <w:p>
      <w:pPr>
        <w:pStyle w:val="BodyText3"/>
        <w:spacing w:before="240" w:after="60"/>
        <w:ind w:firstLine="720" w:end="0"/>
        <w:rPr>
          <w:rFonts w:cs="Arial"/>
          <w:b/>
          <w:sz w:val="20"/>
        </w:rPr>
      </w:pPr>
      <w:r>
        <w:rPr>
          <w:rFonts w:cs="Arial"/>
          <w:b/>
          <w:sz w:val="20"/>
        </w:rPr>
        <w:t>Attending = X</w:t>
      </w:r>
    </w:p>
    <w:tbl>
      <w:tblPr>
        <w:tblpPr w:vertAnchor="text" w:horzAnchor="margin" w:tblpXSpec="center" w:leftFromText="180" w:rightFromText="180" w:tblpY="25"/>
        <w:tblW w:w="9348" w:type="dxa"/>
        <w:jc w:val="start"/>
        <w:tblInd w:w="108" w:type="dxa"/>
        <w:tblLayout w:type="fixed"/>
        <w:tblCellMar>
          <w:top w:w="0" w:type="dxa"/>
          <w:start w:w="108" w:type="dxa"/>
          <w:bottom w:w="0" w:type="dxa"/>
          <w:end w:w="108" w:type="dxa"/>
        </w:tblCellMar>
      </w:tblPr>
      <w:tblGrid>
        <w:gridCol w:w="2028"/>
        <w:gridCol w:w="1560"/>
        <w:gridCol w:w="480"/>
        <w:gridCol w:w="2040"/>
        <w:gridCol w:w="2040"/>
        <w:gridCol w:w="1200"/>
      </w:tblGrid>
      <w:tr>
        <w:trPr/>
        <w:tc>
          <w:tcPr>
            <w:tcW w:w="202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Beth Apollo</w:t>
            </w:r>
          </w:p>
        </w:tc>
        <w:tc>
          <w:tcPr>
            <w:tcW w:w="1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Energy Ops</w:t>
            </w:r>
          </w:p>
        </w:tc>
        <w:tc>
          <w:tcPr>
            <w:tcW w:w="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X</w:t>
            </w:r>
          </w:p>
        </w:tc>
        <w:tc>
          <w:tcPr>
            <w:tcW w:w="2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Marc Eichman</w:t>
            </w:r>
          </w:p>
        </w:tc>
        <w:tc>
          <w:tcPr>
            <w:tcW w:w="2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ENW Commercial</w:t>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r>
      <w:tr>
        <w:trPr/>
        <w:tc>
          <w:tcPr>
            <w:tcW w:w="202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James Scribner</w:t>
            </w:r>
          </w:p>
        </w:tc>
        <w:tc>
          <w:tcPr>
            <w:tcW w:w="1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Energy Ops</w:t>
            </w:r>
          </w:p>
        </w:tc>
        <w:tc>
          <w:tcPr>
            <w:tcW w:w="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X</w:t>
            </w:r>
          </w:p>
        </w:tc>
        <w:tc>
          <w:tcPr>
            <w:tcW w:w="2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Rahil Jafry</w:t>
            </w:r>
          </w:p>
        </w:tc>
        <w:tc>
          <w:tcPr>
            <w:tcW w:w="2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ENW Commercial</w:t>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r>
      <w:tr>
        <w:trPr/>
        <w:tc>
          <w:tcPr>
            <w:tcW w:w="202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Dale Neuner</w:t>
            </w:r>
          </w:p>
        </w:tc>
        <w:tc>
          <w:tcPr>
            <w:tcW w:w="1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Energy Ops</w:t>
            </w:r>
          </w:p>
        </w:tc>
        <w:tc>
          <w:tcPr>
            <w:tcW w:w="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X</w:t>
            </w:r>
          </w:p>
        </w:tc>
        <w:tc>
          <w:tcPr>
            <w:tcW w:w="204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Stephanie Segura</w:t>
            </w:r>
          </w:p>
        </w:tc>
        <w:tc>
          <w:tcPr>
            <w:tcW w:w="2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ENW Commercial</w:t>
            </w:r>
          </w:p>
        </w:tc>
        <w:tc>
          <w:tcPr>
            <w:tcW w:w="12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X</w:t>
            </w:r>
          </w:p>
        </w:tc>
      </w:tr>
      <w:tr>
        <w:trPr/>
        <w:tc>
          <w:tcPr>
            <w:tcW w:w="202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Fred Philipson</w:t>
            </w:r>
          </w:p>
        </w:tc>
        <w:tc>
          <w:tcPr>
            <w:tcW w:w="15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ENW Commercial</w:t>
            </w:r>
          </w:p>
        </w:tc>
        <w:tc>
          <w:tcPr>
            <w:tcW w:w="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X</w:t>
            </w:r>
          </w:p>
        </w:tc>
        <w:tc>
          <w:tcPr>
            <w:tcW w:w="2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c>
          <w:tcPr>
            <w:tcW w:w="2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c>
          <w:tcPr>
            <w:tcW w:w="12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r>
    </w:tbl>
    <w:p>
      <w:pPr>
        <w:pStyle w:val="Heading3"/>
        <w:spacing w:before="0" w:after="0"/>
        <w:ind w:hanging="0" w:start="0"/>
        <w:rPr>
          <w:rFonts w:cs="Arial"/>
          <w:bCs/>
        </w:rPr>
      </w:pPr>
      <w:r>
        <w:rPr>
          <w:rFonts w:cs="Arial"/>
          <w:bCs/>
        </w:rPr>
      </w:r>
    </w:p>
    <w:p>
      <w:pPr>
        <w:pStyle w:val="Normal"/>
        <w:rPr>
          <w:rFonts w:cs="Arial"/>
          <w:bCs/>
        </w:rPr>
      </w:pPr>
      <w:r>
        <w:rPr>
          <w:rFonts w:cs="Arial"/>
          <w:bCs/>
        </w:rPr>
      </w:r>
    </w:p>
    <w:p>
      <w:pPr>
        <w:pStyle w:val="Heading3"/>
        <w:spacing w:before="0" w:after="0"/>
        <w:ind w:hanging="0" w:start="0"/>
        <w:rPr>
          <w:rFonts w:cs="Arial"/>
          <w:bCs/>
        </w:rPr>
      </w:pPr>
      <w:r>
        <w:rPr>
          <w:rFonts w:cs="Arial"/>
          <w:bCs/>
        </w:rPr>
        <w:t>Expenses</w:t>
      </w:r>
    </w:p>
    <w:p>
      <w:pPr>
        <w:pStyle w:val="Normal"/>
        <w:rPr>
          <w:rFonts w:ascii="Arial" w:hAnsi="Arial" w:cs="Arial"/>
          <w:sz w:val="22"/>
        </w:rPr>
      </w:pPr>
      <w:r>
        <w:rPr>
          <w:rFonts w:cs="Arial" w:ascii="Arial" w:hAnsi="Arial"/>
          <w:sz w:val="22"/>
        </w:rPr>
        <w:t>James presented latest draft expense calculations.  Still need to add several items such as legal, customer care, IT allocation, etc.  Will also add a full time director level mgr. to project costs.  Need to address incremental costs and points where additional people will need to be added given additional transaction volumes.</w:t>
      </w:r>
    </w:p>
    <w:p>
      <w:pPr>
        <w:pStyle w:val="Heading3"/>
        <w:spacing w:before="240" w:after="60"/>
        <w:ind w:hanging="0" w:start="0"/>
        <w:rPr>
          <w:rFonts w:cs="Arial"/>
          <w:bCs/>
        </w:rPr>
      </w:pPr>
      <w:r>
        <w:rPr>
          <w:rFonts w:cs="Arial"/>
          <w:bCs/>
        </w:rPr>
        <w:t>Revenue</w:t>
      </w:r>
    </w:p>
    <w:p>
      <w:pPr>
        <w:pStyle w:val="Normal"/>
        <w:rPr>
          <w:rFonts w:ascii="Arial" w:hAnsi="Arial" w:cs="Arial"/>
          <w:sz w:val="22"/>
        </w:rPr>
      </w:pPr>
      <w:r>
        <w:rPr>
          <w:rFonts w:cs="Arial" w:ascii="Arial" w:hAnsi="Arial"/>
          <w:sz w:val="22"/>
        </w:rPr>
        <w:t>Current feeling is that revenue model will be driven from a cost plus basis.  Any information gleaned from customer base, FERC, competitors will influence the price accordingly, although this info may be difficult to come by.</w:t>
      </w:r>
    </w:p>
    <w:p>
      <w:pPr>
        <w:pStyle w:val="Heading3"/>
        <w:spacing w:before="240" w:after="60"/>
        <w:ind w:hanging="0" w:start="0"/>
        <w:rPr>
          <w:rFonts w:cs="Arial"/>
          <w:bCs/>
        </w:rPr>
      </w:pPr>
      <w:r>
        <w:rPr>
          <w:rFonts w:cs="Arial"/>
          <w:bCs/>
        </w:rPr>
        <w:t>Market</w:t>
      </w:r>
    </w:p>
    <w:p>
      <w:pPr>
        <w:pStyle w:val="Normal"/>
        <w:rPr>
          <w:rFonts w:ascii="Arial" w:hAnsi="Arial" w:cs="Arial"/>
          <w:sz w:val="22"/>
        </w:rPr>
      </w:pPr>
      <w:r>
        <w:rPr>
          <w:rFonts w:cs="Arial" w:ascii="Arial" w:hAnsi="Arial"/>
          <w:sz w:val="22"/>
        </w:rPr>
        <w:t xml:space="preserve">Our current focus consists of the companies currently doing business on EOL. Since we don't know the methodology that was used for deriving the current targeted list of firms, we have expanded the number of potential counterparties to all EnronOnline counterparties and will collapse it back to a top 10 list using our own criteria next meeting. </w:t>
      </w:r>
    </w:p>
    <w:p>
      <w:pPr>
        <w:pStyle w:val="Heading3"/>
        <w:spacing w:before="240" w:after="60"/>
        <w:ind w:hanging="0" w:start="0"/>
        <w:rPr>
          <w:rFonts w:cs="Arial"/>
          <w:bCs/>
        </w:rPr>
      </w:pPr>
      <w:r>
        <w:rPr>
          <w:rFonts w:cs="Arial"/>
          <w:bCs/>
        </w:rPr>
        <w:t>Services</w:t>
      </w:r>
    </w:p>
    <w:p>
      <w:pPr>
        <w:pStyle w:val="Normal"/>
        <w:rPr>
          <w:rFonts w:ascii="Arial" w:hAnsi="Arial" w:cs="Arial"/>
          <w:sz w:val="22"/>
        </w:rPr>
      </w:pPr>
      <w:r>
        <w:rPr>
          <w:rFonts w:cs="Arial" w:ascii="Arial" w:hAnsi="Arial"/>
          <w:sz w:val="22"/>
        </w:rPr>
        <w:t>A subsequent meeting with ENW legal will be held, at which time the exact services offered can be documented.  We will offer the services a la carte or bundled together as a package.</w:t>
      </w:r>
    </w:p>
    <w:p>
      <w:pPr>
        <w:pStyle w:val="Heading3"/>
        <w:spacing w:before="240" w:after="60"/>
        <w:ind w:hanging="0" w:start="0"/>
        <w:rPr>
          <w:rFonts w:cs="Arial"/>
          <w:bCs/>
        </w:rPr>
      </w:pPr>
      <w:r>
        <w:rPr>
          <w:rFonts w:cs="Arial"/>
          <w:bCs/>
        </w:rPr>
        <w:t>Process</w:t>
      </w:r>
    </w:p>
    <w:p>
      <w:pPr>
        <w:pStyle w:val="Normal"/>
        <w:rPr>
          <w:rFonts w:ascii="Arial" w:hAnsi="Arial" w:cs="Arial"/>
          <w:sz w:val="22"/>
        </w:rPr>
      </w:pPr>
      <w:r>
        <w:rPr>
          <w:rFonts w:cs="Arial" w:ascii="Arial" w:hAnsi="Arial"/>
          <w:sz w:val="22"/>
        </w:rPr>
        <w:t>Brice Baxter has been asked to provide workflow documentation for physical gas.  Theresa Allen can do for power.</w:t>
      </w:r>
    </w:p>
    <w:p>
      <w:pPr>
        <w:pStyle w:val="Heading3"/>
        <w:spacing w:before="240" w:after="60"/>
        <w:ind w:hanging="0" w:start="0"/>
        <w:rPr>
          <w:rFonts w:cs="Arial"/>
          <w:bCs/>
        </w:rPr>
      </w:pPr>
      <w:r>
        <w:rPr>
          <w:rFonts w:cs="Arial"/>
          <w:bCs/>
        </w:rPr>
        <w:t>Infrastructure</w:t>
      </w:r>
    </w:p>
    <w:p>
      <w:pPr>
        <w:pStyle w:val="Normal"/>
        <w:rPr>
          <w:rFonts w:ascii="Arial" w:hAnsi="Arial" w:cs="Arial"/>
          <w:sz w:val="22"/>
        </w:rPr>
      </w:pPr>
      <w:r>
        <w:rPr>
          <w:rFonts w:cs="Arial" w:ascii="Arial" w:hAnsi="Arial"/>
          <w:sz w:val="22"/>
        </w:rPr>
        <w:t>Need to determine what transaction volume can be maintained before current applications are overhauled.  Current thought is that there are no foreseeable constraints here.</w:t>
      </w:r>
      <w:r>
        <w:br w:type="page"/>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start="360" w:end="0"/>
        <w:rPr>
          <w:rFonts w:ascii="Arial" w:hAnsi="Arial" w:cs="Arial"/>
          <w:sz w:val="22"/>
        </w:rPr>
      </w:pPr>
      <w:r>
        <w:rPr>
          <w:rFonts w:cs="Arial" w:ascii="Arial" w:hAnsi="Arial"/>
          <w:sz w:val="22"/>
        </w:rPr>
      </w:r>
    </w:p>
    <w:tbl>
      <w:tblPr>
        <w:tblpPr w:vertAnchor="text" w:horzAnchor="margin" w:rightFromText="180" w:tblpX="7" w:tblpY="25"/>
        <w:tblW w:w="9468" w:type="dxa"/>
        <w:jc w:val="start"/>
        <w:tblInd w:w="108" w:type="dxa"/>
        <w:tblLayout w:type="fixed"/>
        <w:tblCellMar>
          <w:top w:w="0" w:type="dxa"/>
          <w:start w:w="108" w:type="dxa"/>
          <w:bottom w:w="0" w:type="dxa"/>
          <w:end w:w="108" w:type="dxa"/>
        </w:tblCellMar>
      </w:tblPr>
      <w:tblGrid>
        <w:gridCol w:w="5238"/>
        <w:gridCol w:w="1260"/>
        <w:gridCol w:w="990"/>
        <w:gridCol w:w="990"/>
        <w:gridCol w:w="990"/>
      </w:tblGrid>
      <w:tr>
        <w:trPr/>
        <w:tc>
          <w:tcPr>
            <w:tcW w:w="5238" w:type="dxa"/>
            <w:tcBorders>
              <w:top w:val="single" w:sz="6" w:space="0" w:color="000000"/>
              <w:start w:val="single" w:sz="6" w:space="0" w:color="000000"/>
              <w:end w:val="single" w:sz="6" w:space="0" w:color="000000"/>
            </w:tcBorders>
            <w:shd w:fill="D8D8D8" w:val="clear"/>
          </w:tcPr>
          <w:p>
            <w:pPr>
              <w:pStyle w:val="Normal"/>
              <w:jc w:val="center"/>
              <w:rPr>
                <w:rFonts w:ascii="Arial" w:hAnsi="Arial" w:cs="Arial"/>
                <w:b/>
                <w:sz w:val="22"/>
              </w:rPr>
            </w:pPr>
            <w:r>
              <w:rPr>
                <w:rFonts w:cs="Arial" w:ascii="Arial" w:hAnsi="Arial"/>
                <w:b/>
                <w:sz w:val="22"/>
              </w:rPr>
              <w:t>Action Items – March 14, 2001</w:t>
            </w:r>
          </w:p>
        </w:tc>
        <w:tc>
          <w:tcPr>
            <w:tcW w:w="1260" w:type="dxa"/>
            <w:tcBorders>
              <w:top w:val="single" w:sz="6" w:space="0" w:color="000000"/>
              <w:start w:val="single" w:sz="6" w:space="0" w:color="000000"/>
              <w:end w:val="single" w:sz="6" w:space="0" w:color="000000"/>
            </w:tcBorders>
            <w:shd w:fill="D8D8D8" w:val="clear"/>
          </w:tcPr>
          <w:p>
            <w:pPr>
              <w:pStyle w:val="Normal"/>
              <w:jc w:val="center"/>
              <w:rPr>
                <w:rFonts w:ascii="Arial" w:hAnsi="Arial" w:cs="Arial"/>
                <w:b/>
                <w:sz w:val="22"/>
              </w:rPr>
            </w:pPr>
            <w:r>
              <w:rPr>
                <w:rFonts w:cs="Arial" w:ascii="Arial" w:hAnsi="Arial"/>
                <w:b/>
                <w:sz w:val="22"/>
              </w:rPr>
              <w:t>Resource</w:t>
            </w:r>
          </w:p>
        </w:tc>
        <w:tc>
          <w:tcPr>
            <w:tcW w:w="990" w:type="dxa"/>
            <w:tcBorders>
              <w:top w:val="single" w:sz="6" w:space="0" w:color="000000"/>
              <w:start w:val="single" w:sz="6" w:space="0" w:color="000000"/>
              <w:end w:val="single" w:sz="6" w:space="0" w:color="000000"/>
            </w:tcBorders>
            <w:shd w:fill="D8D8D8" w:val="clear"/>
          </w:tcPr>
          <w:p>
            <w:pPr>
              <w:pStyle w:val="Normal"/>
              <w:jc w:val="center"/>
              <w:rPr>
                <w:rFonts w:ascii="Arial" w:hAnsi="Arial" w:cs="Arial"/>
                <w:b/>
                <w:sz w:val="22"/>
              </w:rPr>
            </w:pPr>
            <w:r>
              <w:rPr>
                <w:rFonts w:cs="Arial" w:ascii="Arial" w:hAnsi="Arial"/>
                <w:b/>
                <w:sz w:val="22"/>
              </w:rPr>
              <w:t>Date</w:t>
            </w:r>
          </w:p>
          <w:p>
            <w:pPr>
              <w:pStyle w:val="Normal"/>
              <w:jc w:val="center"/>
              <w:rPr>
                <w:rFonts w:ascii="Arial" w:hAnsi="Arial" w:cs="Arial"/>
                <w:b/>
                <w:sz w:val="22"/>
              </w:rPr>
            </w:pPr>
            <w:r>
              <w:rPr>
                <w:rFonts w:cs="Arial" w:ascii="Arial" w:hAnsi="Arial"/>
                <w:b/>
                <w:sz w:val="22"/>
              </w:rPr>
              <w:t>Given</w:t>
            </w:r>
          </w:p>
        </w:tc>
        <w:tc>
          <w:tcPr>
            <w:tcW w:w="990" w:type="dxa"/>
            <w:tcBorders>
              <w:top w:val="single" w:sz="6" w:space="0" w:color="000000"/>
              <w:start w:val="single" w:sz="6" w:space="0" w:color="000000"/>
              <w:end w:val="single" w:sz="6" w:space="0" w:color="000000"/>
            </w:tcBorders>
            <w:shd w:fill="D8D8D8" w:val="clear"/>
          </w:tcPr>
          <w:p>
            <w:pPr>
              <w:pStyle w:val="Normal"/>
              <w:jc w:val="center"/>
              <w:rPr>
                <w:rFonts w:ascii="Arial" w:hAnsi="Arial" w:cs="Arial"/>
                <w:b/>
                <w:sz w:val="22"/>
              </w:rPr>
            </w:pPr>
            <w:r>
              <w:rPr>
                <w:rFonts w:cs="Arial" w:ascii="Arial" w:hAnsi="Arial"/>
                <w:b/>
                <w:sz w:val="22"/>
              </w:rPr>
              <w:t>Due Date</w:t>
            </w:r>
          </w:p>
        </w:tc>
        <w:tc>
          <w:tcPr>
            <w:tcW w:w="990" w:type="dxa"/>
            <w:tcBorders>
              <w:top w:val="single" w:sz="6" w:space="0" w:color="000000"/>
              <w:start w:val="single" w:sz="6" w:space="0" w:color="000000"/>
              <w:end w:val="single" w:sz="6" w:space="0" w:color="000000"/>
            </w:tcBorders>
            <w:shd w:fill="D8D8D8" w:val="clear"/>
          </w:tcPr>
          <w:p>
            <w:pPr>
              <w:pStyle w:val="Normal"/>
              <w:jc w:val="center"/>
              <w:rPr>
                <w:rFonts w:ascii="Arial" w:hAnsi="Arial" w:cs="Arial"/>
                <w:b/>
                <w:sz w:val="22"/>
              </w:rPr>
            </w:pPr>
            <w:r>
              <w:rPr>
                <w:rFonts w:cs="Arial" w:ascii="Arial" w:hAnsi="Arial"/>
                <w:b/>
                <w:sz w:val="22"/>
              </w:rPr>
              <w:t>Status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Continue to find growing companies on EOL.  Do a trailing 12 month trend analysis.  Increase potential customers beyond current list.</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Stephanie</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3-14</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3-16</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r>
      <w:tr>
        <w:trPr/>
        <w:tc>
          <w:tcPr>
            <w:tcW w:w="52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Add settled volumes to CP Activity spread sheet</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Dale</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3-14</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3-16</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r>
      <w:tr>
        <w:trPr/>
        <w:tc>
          <w:tcPr>
            <w:tcW w:w="52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Add additional costs to expense model</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James</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3-14</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3-16</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r>
      <w:tr>
        <w:trPr/>
        <w:tc>
          <w:tcPr>
            <w:tcW w:w="52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 xml:space="preserve">Size the market potential for this service, adding those companies outside of EOL.  </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Fred</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3-9</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3-16</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r>
      <w:tr>
        <w:trPr/>
        <w:tc>
          <w:tcPr>
            <w:tcW w:w="52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2"/>
              </w:rPr>
            </w:pPr>
            <w:r>
              <w:rPr>
                <w:rFonts w:cs="Arial" w:ascii="Arial" w:hAnsi="Arial"/>
                <w:sz w:val="22"/>
              </w:rPr>
              <w:t>Continue to work on SLA points</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 xml:space="preserve">Beth, Rahil, Dale </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2"/>
              </w:rPr>
            </w:pPr>
            <w:r>
              <w:rPr>
                <w:rFonts w:cs="Arial" w:ascii="Arial" w:hAnsi="Arial"/>
                <w:sz w:val="22"/>
              </w:rPr>
            </w:r>
          </w:p>
        </w:tc>
      </w:tr>
    </w:tbl>
    <w:p>
      <w:pPr>
        <w:pStyle w:val="bullet"/>
        <w:numPr>
          <w:ilvl w:val="0"/>
          <w:numId w:val="0"/>
        </w:numPr>
        <w:spacing w:before="240" w:after="0"/>
        <w:ind w:hanging="0" w:start="0"/>
        <w:rPr/>
      </w:pPr>
      <w:r/>
      <w:r>
        <w:rPr>
          <w:rFonts w:cs="Arial"/>
          <w:b/>
          <w:bCs/>
        </w:rPr>
        <w:t>Next Meeting</w:t>
      </w:r>
      <w:r>
        <w:rPr>
          <w:rFonts w:cs="Arial"/>
        </w:rPr>
        <w:t xml:space="preserve"> </w:t>
      </w:r>
    </w:p>
    <w:p>
      <w:pPr>
        <w:pStyle w:val="bullet"/>
        <w:numPr>
          <w:ilvl w:val="0"/>
          <w:numId w:val="0"/>
        </w:numPr>
        <w:spacing w:before="240" w:after="0"/>
        <w:ind w:hanging="0" w:start="0"/>
        <w:rPr/>
      </w:pPr>
      <w:r>
        <w:rPr>
          <w:rFonts w:cs="Arial"/>
        </w:rPr>
        <w:t>TBD – Friday the 16</w:t>
      </w:r>
      <w:r>
        <w:rPr>
          <w:rFonts w:cs="Arial"/>
          <w:vertAlign w:val="superscript"/>
        </w:rPr>
        <w:t>th</w:t>
      </w:r>
      <w:r>
        <w:rPr>
          <w:rFonts w:cs="Arial"/>
        </w:rPr>
        <w:t xml:space="preserve"> latest</w:t>
      </w:r>
    </w:p>
    <w:p>
      <w:pPr>
        <w:pStyle w:val="bullet"/>
        <w:numPr>
          <w:ilvl w:val="0"/>
          <w:numId w:val="0"/>
        </w:numPr>
        <w:spacing w:before="240" w:after="60"/>
        <w:ind w:hanging="0" w:start="0"/>
        <w:rPr>
          <w:rFonts w:cs="Arial"/>
          <w:b/>
          <w:bCs/>
        </w:rPr>
      </w:pPr>
      <w:r>
        <w:rPr>
          <w:rFonts w:cs="Arial"/>
          <w:b/>
          <w:bCs/>
        </w:rPr>
        <w:t>Milestones</w:t>
      </w:r>
    </w:p>
    <w:p>
      <w:pPr>
        <w:pStyle w:val="bullet"/>
        <w:numPr>
          <w:ilvl w:val="0"/>
          <w:numId w:val="0"/>
        </w:numPr>
        <w:ind w:hanging="0" w:start="0"/>
        <w:rPr>
          <w:rFonts w:cs="Arial"/>
        </w:rPr>
      </w:pPr>
      <w:r>
        <w:rPr>
          <w:rFonts w:cs="Arial"/>
        </w:rPr>
        <w:t>Fri, March 16 - Pro forma P&amp;L</w:t>
      </w:r>
    </w:p>
    <w:p>
      <w:pPr>
        <w:pStyle w:val="bullet"/>
        <w:numPr>
          <w:ilvl w:val="0"/>
          <w:numId w:val="0"/>
        </w:numPr>
        <w:ind w:hanging="0" w:start="0"/>
        <w:rPr>
          <w:rFonts w:cs="Arial"/>
        </w:rPr>
      </w:pPr>
      <w:r>
        <w:rPr>
          <w:rFonts w:cs="Arial"/>
        </w:rPr>
        <w:t xml:space="preserve">April – </w:t>
        <w:tab/>
        <w:tab/>
        <w:t>Have a plan together and present to management</w:t>
      </w:r>
    </w:p>
    <w:p>
      <w:pPr>
        <w:pStyle w:val="bullet"/>
        <w:numPr>
          <w:ilvl w:val="0"/>
          <w:numId w:val="0"/>
        </w:numPr>
        <w:ind w:hanging="0" w:start="0"/>
        <w:rPr>
          <w:rFonts w:cs="Arial"/>
        </w:rPr>
      </w:pPr>
      <w:r>
        <w:rPr>
          <w:rFonts w:cs="Arial"/>
        </w:rPr>
      </w:r>
    </w:p>
    <w:p>
      <w:pPr>
        <w:pStyle w:val="bullet"/>
        <w:numPr>
          <w:ilvl w:val="0"/>
          <w:numId w:val="0"/>
        </w:numPr>
        <w:ind w:hanging="0" w:start="0"/>
        <w:rPr>
          <w:rFonts w:cs="Arial"/>
        </w:rPr>
      </w:pPr>
      <w:r>
        <w:rPr>
          <w:rFonts w:cs="Arial"/>
        </w:rPr>
      </w:r>
    </w:p>
    <w:p>
      <w:pPr>
        <w:pStyle w:val="bullet"/>
        <w:numPr>
          <w:ilvl w:val="0"/>
          <w:numId w:val="0"/>
        </w:numPr>
        <w:ind w:hanging="0" w:start="0"/>
        <w:rPr>
          <w:rFonts w:cs="Arial"/>
        </w:rPr>
      </w:pPr>
      <w:r>
        <w:rPr>
          <w:rFonts w:cs="Arial"/>
        </w:rPr>
      </w:r>
    </w:p>
    <w:p>
      <w:pPr>
        <w:pStyle w:val="bullet"/>
        <w:numPr>
          <w:ilvl w:val="0"/>
          <w:numId w:val="0"/>
        </w:numPr>
        <w:ind w:hanging="0" w:start="0"/>
        <w:rPr>
          <w:rFonts w:cs="Arial"/>
        </w:rPr>
      </w:pPr>
      <w:r>
        <w:rPr>
          <w:rFonts w:cs="Arial"/>
        </w:rPr>
      </w:r>
    </w:p>
    <w:p>
      <w:pPr>
        <w:pStyle w:val="bullet"/>
        <w:numPr>
          <w:ilvl w:val="0"/>
          <w:numId w:val="0"/>
        </w:numPr>
        <w:ind w:hanging="0" w:start="0"/>
        <w:rPr>
          <w:rFonts w:cs="Arial"/>
        </w:rPr>
      </w:pPr>
      <w:r>
        <w:rPr>
          <w:rFonts w:cs="Arial"/>
        </w:rPr>
      </w:r>
    </w:p>
    <w:sectPr>
      <w:headerReference w:type="default" r:id="rId2"/>
      <w:footerReference w:type="default" r:id="rId3"/>
      <w:type w:val="nextPage"/>
      <w:pgSz w:w="12240" w:h="15840"/>
      <w:pgMar w:left="1440" w:right="1440" w:gutter="0" w:header="360" w:top="720" w:footer="302" w:bottom="44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FILENAME \p </w:instrText>
    </w:r>
    <w:r>
      <w:rPr/>
      <w:fldChar w:fldCharType="separate"/>
    </w:r>
    <w:r>
      <w:rPr/>
      <w:t>/mnt/main-storage/datasets/enron-docs/doc/03_14_01.doc</w:t>
    </w:r>
    <w:r>
      <w:rPr/>
      <w:fldChar w:fldCharType="end"/>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0000FF"/>
        <w:sz w:val="28"/>
        <w:lang w:val="en-CA" w:eastAsia="en-CA"/>
      </w:rPr>
    </w:pPr>
    <w:r>
      <w:rPr>
        <w:lang w:val="en-CA" w:eastAsia="en-CA"/>
      </w:rPr>
      <w:drawing>
        <wp:inline distT="0" distB="0" distL="0" distR="0">
          <wp:extent cx="699135" cy="6991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6" t="-26" r="-26" b="-26"/>
                  <a:stretch>
                    <a:fillRect/>
                  </a:stretch>
                </pic:blipFill>
                <pic:spPr bwMode="auto">
                  <a:xfrm>
                    <a:off x="0" y="0"/>
                    <a:ext cx="699135" cy="699135"/>
                  </a:xfrm>
                  <a:prstGeom prst="rect">
                    <a:avLst/>
                  </a:prstGeom>
                  <a:noFill/>
                </pic:spPr>
              </pic:pic>
            </a:graphicData>
          </a:graphic>
        </wp:inline>
      </w:drawing>
    </w:r>
    <w:r>
      <w:rPr>
        <w:b/>
        <w:color w:val="0000FF"/>
        <w:sz w:val="28"/>
        <w:lang w:val="en-CA" w:eastAsia="en-CA"/>
      </w:rPr>
      <w:t>Meeting Minutes 03/14/01</w:t>
    </w:r>
  </w:p>
  <w:p>
    <w:pPr>
      <w:pStyle w:val="Header"/>
      <w:jc w:val="center"/>
      <w:rPr>
        <w:color w:val="0000FF"/>
        <w:sz w:val="28"/>
        <w:lang w:val="en-CA" w:eastAsia="en-CA"/>
      </w:rPr>
    </w:pPr>
    <w:r>
      <w:rPr>
        <w:color w:val="0000FF"/>
        <w:sz w:val="28"/>
        <w:lang w:val="en-CA" w:eastAsia="en-CA"/>
      </w:rPr>
    </w:r>
  </w:p>
  <w:p>
    <w:pPr>
      <w:pStyle w:val="Header"/>
      <w:jc w:val="center"/>
      <w:rPr>
        <w:b/>
        <w:color w:val="00FFFF"/>
        <w:sz w:val="28"/>
      </w:rPr>
    </w:pPr>
    <w:r>
      <w:rPr>
        <w:b/>
        <w:color w:val="00FFFF"/>
        <w:sz w:val="28"/>
      </w:rPr>
      <w:t>Back Office Services Outsourcing Project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pBdr>
        <w:top w:val="single" w:sz="30"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before="240" w:after="0"/>
      <w:outlineLvl w:val="2"/>
    </w:pPr>
    <w:rPr>
      <w:rFonts w:ascii="Arial" w:hAnsi="Arial" w:cs="Arial"/>
      <w:b/>
      <w:sz w:val="22"/>
    </w:rPr>
  </w:style>
  <w:style w:type="paragraph" w:styleId="Heading4">
    <w:name w:val="heading 4"/>
    <w:basedOn w:val="Normal"/>
    <w:next w:val="Normal"/>
    <w:qFormat/>
    <w:pPr>
      <w:keepNext w:val="true"/>
      <w:numPr>
        <w:ilvl w:val="3"/>
        <w:numId w:val="1"/>
      </w:numPr>
      <w:ind w:hanging="0" w:start="0" w:end="-36"/>
      <w:outlineLvl w:val="3"/>
    </w:pPr>
    <w:rPr>
      <w:rFonts w:ascii="Arial" w:hAnsi="Arial" w:cs="Arial"/>
      <w:b/>
    </w:rPr>
  </w:style>
  <w:style w:type="paragraph" w:styleId="Heading5">
    <w:name w:val="heading 5"/>
    <w:basedOn w:val="Normal"/>
    <w:next w:val="Normal"/>
    <w:qFormat/>
    <w:pPr>
      <w:keepNext w:val="true"/>
      <w:numPr>
        <w:ilvl w:val="4"/>
        <w:numId w:val="1"/>
      </w:numPr>
      <w:outlineLvl w:val="4"/>
    </w:pPr>
    <w:rPr>
      <w:rFonts w:ascii="Arial" w:hAnsi="Arial" w:cs="Arial"/>
      <w:b/>
      <w:color w:val="FF0000"/>
      <w:sz w:val="22"/>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Wingdings" w:hAnsi="Wingdings" w:cs="Wingdings"/>
      <w:color w:val="FF0000"/>
      <w:sz w:val="16"/>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Wingdings" w:hAnsi="Wingdings" w:cs="Wingdings"/>
      <w:color w:val="FF0000"/>
      <w:sz w:val="16"/>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Symbol" w:hAnsi="Symbol" w:cs="Symbol"/>
    </w:rPr>
  </w:style>
  <w:style w:type="character" w:styleId="WW8Num16z0">
    <w:name w:val="WW8Num16z0"/>
    <w:qFormat/>
    <w:rPr>
      <w:rFonts w:ascii="Times New Roman" w:hAnsi="Times New Roman" w:cs="Times New Roman"/>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Times New Roman" w:hAnsi="Times New Roman" w:cs="Times New Roman"/>
    </w:rPr>
  </w:style>
  <w:style w:type="character" w:styleId="WW8Num22z0">
    <w:name w:val="WW8Num22z0"/>
    <w:qFormat/>
    <w:rPr>
      <w:rFonts w:ascii="Symbol" w:hAnsi="Symbol" w:cs="Symbol"/>
    </w:rPr>
  </w:style>
  <w:style w:type="character" w:styleId="WW8Num22z1">
    <w:name w:val="WW8Num22z1"/>
    <w:qFormat/>
    <w:rPr>
      <w:rFonts w:ascii="Wingdings" w:hAnsi="Wingdings" w:cs="Wingdings"/>
      <w:color w:val="FF0000"/>
      <w:sz w:val="16"/>
    </w:rPr>
  </w:style>
  <w:style w:type="character" w:styleId="WW8Num22z2">
    <w:name w:val="WW8Num22z2"/>
    <w:qFormat/>
    <w:rPr>
      <w:rFonts w:ascii="Wingdings" w:hAnsi="Wingdings" w:cs="Wingdings"/>
    </w:rPr>
  </w:style>
  <w:style w:type="character" w:styleId="WW8Num22z4">
    <w:name w:val="WW8Num22z4"/>
    <w:qFormat/>
    <w:rPr>
      <w:rFonts w:ascii="Courier New" w:hAnsi="Courier New" w:cs="Courier New"/>
    </w:rPr>
  </w:style>
  <w:style w:type="character" w:styleId="WW8Num23z0">
    <w:name w:val="WW8Num23z0"/>
    <w:qFormat/>
    <w:rPr>
      <w:rFonts w:ascii="Times New Roman" w:hAnsi="Times New Roman" w:cs="Times New Roman"/>
    </w:rPr>
  </w:style>
  <w:style w:type="character" w:styleId="WW8Num24z0">
    <w:name w:val="WW8Num24z0"/>
    <w:qFormat/>
    <w:rPr>
      <w:rFonts w:ascii="Wingdings" w:hAnsi="Wingdings" w:cs="Wingdings"/>
      <w:sz w:val="16"/>
    </w:rPr>
  </w:style>
  <w:style w:type="character" w:styleId="WW8Num24z1">
    <w:name w:val="WW8Num24z1"/>
    <w:qFormat/>
    <w:rPr>
      <w:rFonts w:ascii="Wingdings" w:hAnsi="Wingdings" w:cs="Wingdings"/>
      <w:color w:val="FF0000"/>
      <w:sz w:val="16"/>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sz w:val="16"/>
    </w:rPr>
  </w:style>
  <w:style w:type="character" w:styleId="WW8Num31z1">
    <w:name w:val="WW8Num31z1"/>
    <w:qFormat/>
    <w:rPr>
      <w:rFonts w:ascii="Wingdings" w:hAnsi="Wingdings" w:cs="Wingdings"/>
      <w:color w:val="FF0000"/>
      <w:sz w:val="16"/>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rPr>
  </w:style>
  <w:style w:type="character" w:styleId="WW8Num34z0">
    <w:name w:val="WW8Num34z0"/>
    <w:qFormat/>
    <w:rPr>
      <w:rFonts w:ascii="Arial" w:hAnsi="Arial" w:eastAsia="Times New Roman" w:cs="Aria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Wingdings" w:hAnsi="Wingdings" w:cs="Wingdings"/>
      <w:color w:val="FF0000"/>
      <w:sz w:val="16"/>
    </w:rPr>
  </w:style>
  <w:style w:type="character" w:styleId="WW8Num35z2">
    <w:name w:val="WW8Num35z2"/>
    <w:qFormat/>
    <w:rPr>
      <w:rFonts w:ascii="Wingdings" w:hAnsi="Wingdings" w:cs="Wingdings"/>
    </w:rPr>
  </w:style>
  <w:style w:type="character" w:styleId="WW8Num35z4">
    <w:name w:val="WW8Num35z4"/>
    <w:qFormat/>
    <w:rPr>
      <w:rFonts w:ascii="Courier New" w:hAnsi="Courier New" w:cs="Courier New"/>
    </w:rPr>
  </w:style>
  <w:style w:type="character" w:styleId="WW8Num36z0">
    <w:name w:val="WW8Num36z0"/>
    <w:qFormat/>
    <w:rPr>
      <w:rFonts w:ascii="Symbol" w:hAnsi="Symbol" w:cs="Symbol"/>
    </w:rPr>
  </w:style>
  <w:style w:type="character" w:styleId="WW8Num37z0">
    <w:name w:val="WW8Num37z0"/>
    <w:qFormat/>
    <w:rPr>
      <w:rFonts w:ascii="Wingdings" w:hAnsi="Wingdings" w:cs="Wingdings"/>
      <w:sz w:val="16"/>
    </w:rPr>
  </w:style>
  <w:style w:type="character" w:styleId="WW8Num37z1">
    <w:name w:val="WW8Num37z1"/>
    <w:qFormat/>
    <w:rPr>
      <w:rFonts w:ascii="Wingdings" w:hAnsi="Wingdings" w:cs="Wingdings"/>
      <w:color w:val="FF0000"/>
      <w:sz w:val="16"/>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8z0">
    <w:name w:val="WW8Num38z0"/>
    <w:qFormat/>
    <w:rPr>
      <w:rFonts w:ascii="Times New Roman" w:hAnsi="Times New Roman" w:eastAsia="Times New Roman" w:cs="Times New Roman"/>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00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Wingdings" w:hAnsi="Wingdings" w:cs="Wingdings"/>
      <w:sz w:val="16"/>
    </w:rPr>
  </w:style>
  <w:style w:type="character" w:styleId="WW8Num40z1">
    <w:name w:val="WW8Num40z1"/>
    <w:qFormat/>
    <w:rPr>
      <w:rFonts w:ascii="Wingdings" w:hAnsi="Wingdings" w:cs="Wingdings"/>
      <w:color w:val="FF0000"/>
      <w:sz w:val="16"/>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1">
    <w:name w:val="WW8Num42z1"/>
    <w:qFormat/>
    <w:rPr>
      <w:rFonts w:ascii="Wingdings" w:hAnsi="Wingdings" w:cs="Wingdings"/>
    </w:rPr>
  </w:style>
  <w:style w:type="character" w:styleId="WW8Num43z0">
    <w:name w:val="WW8Num43z0"/>
    <w:qFormat/>
    <w:rPr/>
  </w:style>
  <w:style w:type="character" w:styleId="WW8Num44z0">
    <w:name w:val="WW8Num44z0"/>
    <w:qFormat/>
    <w:rPr>
      <w:rFonts w:ascii="Times New Roman" w:hAnsi="Times New Roman" w:cs="Times New Roman"/>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Subtitle"/>
    <w:qFormat/>
    <w:pPr>
      <w:keepNext w:val="true"/>
      <w:keepLines/>
      <w:pBdr>
        <w:top w:val="single" w:sz="6" w:space="16" w:color="000000"/>
      </w:pBdr>
      <w:spacing w:lineRule="atLeast" w:line="320" w:before="220" w:after="60"/>
    </w:pPr>
    <w:rPr>
      <w:rFonts w:ascii="Arial Black" w:hAnsi="Arial Black" w:cs="Arial Black"/>
      <w:spacing w:val="-30"/>
      <w:kern w:val="2"/>
      <w:sz w:val="40"/>
    </w:rPr>
  </w:style>
  <w:style w:type="paragraph" w:styleId="BodyText">
    <w:name w:val="Body Text"/>
    <w:basedOn w:val="Normal"/>
    <w:pPr>
      <w:spacing w:before="60" w:after="120"/>
    </w:pPr>
    <w:rPr>
      <w:rFonts w:ascii="Arial" w:hAnsi="Arial" w:cs="Arial"/>
      <w:spacing w:val="-5"/>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bullet">
    <w:name w:val="bullet"/>
    <w:basedOn w:val="Normal"/>
    <w:qFormat/>
    <w:pPr>
      <w:numPr>
        <w:ilvl w:val="0"/>
        <w:numId w:val="2"/>
      </w:numPr>
      <w:tabs>
        <w:tab w:val="clear" w:pos="720"/>
        <w:tab w:val="left" w:pos="540" w:leader="none"/>
      </w:tabs>
      <w:spacing w:before="120" w:after="0"/>
      <w:ind w:hanging="0" w:start="54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color w:val="FF0000"/>
      <w:sz w:val="24"/>
    </w:rPr>
  </w:style>
  <w:style w:type="paragraph" w:styleId="Action">
    <w:name w:val="Action"/>
    <w:basedOn w:val="bullet"/>
    <w:qFormat/>
    <w:pPr/>
    <w:rPr>
      <w:color w:val="FF0000"/>
    </w:rPr>
  </w:style>
  <w:style w:type="paragraph" w:styleId="Issue">
    <w:name w:val="Issue"/>
    <w:basedOn w:val="bullet"/>
    <w:qFormat/>
    <w:pPr/>
    <w:rPr>
      <w:color w:val="000080"/>
    </w:rPr>
  </w:style>
  <w:style w:type="paragraph" w:styleId="BigIssue">
    <w:name w:val="Big Issue"/>
    <w:basedOn w:val="Issue"/>
    <w:qFormat/>
    <w:pPr/>
    <w:rPr/>
  </w:style>
  <w:style w:type="paragraph" w:styleId="Table">
    <w:name w:val="Table"/>
    <w:basedOn w:val="Normal"/>
    <w:qFormat/>
    <w:pPr/>
    <w:rPr>
      <w:rFonts w:ascii="Arial" w:hAnsi="Arial" w:cs="Arial"/>
    </w:rPr>
  </w:style>
  <w:style w:type="paragraph" w:styleId="BodyTextIndent">
    <w:name w:val="Body Text Indent"/>
    <w:basedOn w:val="Normal"/>
    <w:pPr>
      <w:ind w:hanging="0" w:start="720" w:end="0"/>
    </w:pPr>
    <w:rPr>
      <w:rFonts w:ascii="Comic Sans MS" w:hAnsi="Comic Sans MS" w:cs="Comic Sans MS"/>
    </w:rPr>
  </w:style>
  <w:style w:type="paragraph" w:styleId="BodyText3">
    <w:name w:val="Body Text 3"/>
    <w:basedOn w:val="Normal"/>
    <w:qFormat/>
    <w:pPr/>
    <w:rPr>
      <w:rFonts w:ascii="Arial" w:hAnsi="Arial" w:cs="Arial"/>
      <w:bCs/>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2001-03-14T21:12:00Z</dcterms:created>
  <dc:creator>rfairchi</dc:creator>
  <dc:description/>
  <dc:language>en-CA</dc:language>
  <cp:lastModifiedBy>Fred Philipson</cp:lastModifiedBy>
  <cp:lastPrinted>2000-05-25T09:24:00Z</cp:lastPrinted>
  <dcterms:modified xsi:type="dcterms:W3CDTF">2001-04-23T19:17:00Z</dcterms:modified>
  <cp:revision>7</cp:revision>
  <dc:subject/>
  <dc:title>Status Report</dc:title>
</cp:coreProperties>
</file>