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keepLines/>
        <w:ind w:hanging="0" w:start="0"/>
        <w:rPr/>
      </w:pPr>
      <w:r>
        <w:rPr/>
        <w:t>DRAFT OF 08/6/2001</w:t>
      </w:r>
    </w:p>
    <w:p>
      <w:pPr>
        <w:pStyle w:val="Normal"/>
        <w:keepNext w:val="true"/>
        <w:keepLines/>
        <w:jc w:val="end"/>
        <w:rPr>
          <w:b/>
          <w:bCs/>
          <w:sz w:val="22"/>
          <w:szCs w:val="22"/>
        </w:rPr>
      </w:pPr>
      <w:r>
        <w:rPr>
          <w:b/>
          <w:bCs/>
          <w:sz w:val="22"/>
          <w:szCs w:val="22"/>
        </w:rPr>
      </w:r>
    </w:p>
    <w:p>
      <w:pPr>
        <w:pStyle w:val="BodyText3"/>
        <w:keepNext w:val="true"/>
        <w:keepLines/>
        <w:rPr/>
      </w:pPr>
      <w:r>
        <w:rPr/>
        <w:t>SCHEDULE</w:t>
        <w:br/>
        <w:t>to the</w:t>
        <w:br/>
        <w:t>MASTER AGREEMENT</w:t>
        <w:br/>
        <w:t>(Multicurrency-Cross Border)</w:t>
      </w:r>
    </w:p>
    <w:p>
      <w:pPr>
        <w:pStyle w:val="Normal"/>
        <w:keepNext w:val="true"/>
        <w:keepLines/>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keepNext w:val="true"/>
        <w:keepLines/>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34" w:hRule="atLeast"/>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partners, l.p.,</w:t>
            </w:r>
            <w:r>
              <w:rPr>
                <w:b/>
                <w:bCs/>
                <w:sz w:val="22"/>
                <w:szCs w:val="22"/>
              </w:rPr>
              <w:t xml:space="preserve"> a limited partnership organized under the law of the State of Delaware (“Party B”)</w:t>
            </w:r>
          </w:p>
        </w:tc>
      </w:tr>
    </w:tbl>
    <w:p>
      <w:pPr>
        <w:pStyle w:val="Normal"/>
        <w:keepNext w:val="true"/>
        <w:keepLines/>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keepNext w:val="true"/>
        <w:keepLines/>
        <w:numPr>
          <w:ilvl w:val="0"/>
          <w:numId w:val="2"/>
        </w:numPr>
        <w:spacing w:lineRule="exact" w:line="240" w:before="240" w:after="0"/>
        <w:jc w:val="both"/>
        <w:rPr>
          <w:sz w:val="22"/>
          <w:szCs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keepNext w:val="true"/>
        <w:keepLines/>
        <w:numPr>
          <w:ilvl w:val="0"/>
          <w:numId w:val="2"/>
        </w:numPr>
        <w:spacing w:lineRule="exact" w:line="240" w:before="240" w:after="0"/>
        <w:jc w:val="both"/>
        <w:rPr>
          <w:sz w:val="22"/>
          <w:szCs w:val="22"/>
        </w:rPr>
      </w:pPr>
      <w:r>
        <w:rPr>
          <w:b/>
          <w:bCs/>
          <w:sz w:val="22"/>
          <w:szCs w:val="22"/>
        </w:rPr>
        <w:t xml:space="preserve">(i) “Specified Transaction” </w:t>
      </w:r>
      <w:r>
        <w:rPr>
          <w:sz w:val="22"/>
          <w:szCs w:val="22"/>
        </w:rPr>
        <w:t>will have the meaning specified in Section 14.</w:t>
      </w:r>
    </w:p>
    <w:p>
      <w:pPr>
        <w:pStyle w:val="Normal"/>
        <w:keepNext w:val="true"/>
        <w:keepLines/>
        <w:numPr>
          <w:ilvl w:val="1"/>
          <w:numId w:val="2"/>
        </w:numPr>
        <w:tabs>
          <w:tab w:val="clear" w:pos="720"/>
          <w:tab w:val="left" w:pos="1710" w:leader="none"/>
        </w:tabs>
        <w:spacing w:lineRule="exact" w:line="240" w:before="240" w:after="0"/>
        <w:ind w:hanging="0" w:start="1440" w:end="0"/>
        <w:jc w:val="both"/>
        <w:rPr>
          <w:sz w:val="22"/>
          <w:szCs w:val="22"/>
        </w:rPr>
      </w:pPr>
      <w:r>
        <w:rPr>
          <w:sz w:val="22"/>
          <w:szCs w:val="22"/>
        </w:rPr>
        <w:t xml:space="preserve"> </w:t>
      </w:r>
      <w:r>
        <w:rPr>
          <w:sz w:val="22"/>
          <w:szCs w:val="22"/>
        </w:rPr>
        <w:t>The “Default under Specified Transaction” provisions of section 5(a)(v) are amended by adding the following proviso at the end thereof:</w:t>
      </w:r>
    </w:p>
    <w:p>
      <w:pPr>
        <w:pStyle w:val="Normal"/>
        <w:keepNext w:val="true"/>
        <w:keepLines/>
        <w:spacing w:lineRule="exact" w:line="240" w:before="240" w:after="0"/>
        <w:ind w:start="1440" w:end="0"/>
        <w:jc w:val="both"/>
        <w:rPr>
          <w:sz w:val="22"/>
          <w:szCs w:val="22"/>
        </w:rPr>
      </w:pPr>
      <w:r>
        <w:rPr>
          <w:sz w:val="22"/>
          <w:szCs w:val="22"/>
        </w:rPr>
        <w:t>“</w:t>
      </w:r>
      <w:r>
        <w:rPr>
          <w:sz w:val="22"/>
          <w:szCs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w:t>
      </w:r>
    </w:p>
    <w:p>
      <w:pPr>
        <w:pStyle w:val="Normal"/>
        <w:keepNext w:val="true"/>
        <w:keepLines/>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keepNext w:val="true"/>
        <w:keepLines/>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keepNext w:val="true"/>
        <w:keepLines/>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Loss will apply, and (ii) the Second Method will apply.</w:t>
      </w:r>
    </w:p>
    <w:p>
      <w:pPr>
        <w:pStyle w:val="Normal"/>
        <w:keepNext w:val="true"/>
        <w:keepLines/>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keepNext w:val="true"/>
        <w:keepLines/>
        <w:spacing w:lineRule="exact" w:line="240" w:before="240" w:after="0"/>
        <w:ind w:firstLine="720" w:end="0"/>
        <w:jc w:val="both"/>
        <w:rPr/>
      </w:pPr>
      <w:r>
        <w:rPr>
          <w:sz w:val="22"/>
          <w:szCs w:val="22"/>
        </w:rPr>
        <w:t>(h)</w:t>
        <w:tab/>
        <w:t>(A)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keepNext w:val="true"/>
        <w:keepLines/>
        <w:spacing w:lineRule="exact" w:line="240" w:before="240" w:after="0"/>
        <w:ind w:firstLine="720" w:end="0"/>
        <w:jc w:val="both"/>
        <w:rPr>
          <w:sz w:val="22"/>
          <w:szCs w:val="22"/>
        </w:rPr>
      </w:pPr>
      <w:r>
        <w:rPr>
          <w:sz w:val="22"/>
          <w:szCs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spacing w:lineRule="atLeast" w:line="240"/>
        <w:ind w:hanging="720" w:start="144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(i)</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keepNext w:val="true"/>
        <w:keepLines/>
        <w:spacing w:lineRule="atLeast" w:line="240"/>
        <w:ind w:firstLine="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in any twelve (12) month period the Net Asset Value of Party B declines by more than 50%.</w:t>
      </w:r>
    </w:p>
    <w:p>
      <w:pPr>
        <w:pStyle w:val="Normal"/>
        <w:keepNext w:val="true"/>
        <w:keepLines/>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ratio of its Liabilities to Net Asset Value is more than 10 to 1.</w:t>
      </w:r>
    </w:p>
    <w:p>
      <w:pPr>
        <w:pStyle w:val="Normal"/>
        <w:keepNext w:val="true"/>
        <w:keepLines/>
        <w:ind w:start="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its Net Asset Value falls below $35,000,000.</w:t>
      </w:r>
    </w:p>
    <w:p>
      <w:pPr>
        <w:pStyle w:val="Normal"/>
        <w:keepNext w:val="true"/>
        <w:keepLines/>
        <w:ind w:hanging="720" w:start="144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Manager resigns, is terminated or is otherwise incapacitated for a period exceeding one month.</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(e)</w:t>
        <w:tab/>
        <w:t>If the Management Agreement is terminated or otherwise ceases to exist.</w:t>
      </w:r>
    </w:p>
    <w:p>
      <w:pPr>
        <w:pStyle w:val="Normal"/>
        <w:keepNext w:val="true"/>
        <w:keepLines/>
        <w:ind w:hanging="720" w:start="144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(ii) The following will constitute an Additional Termination Event with respect to Party A:</w:t>
      </w:r>
    </w:p>
    <w:p>
      <w:pPr>
        <w:pStyle w:val="Normal"/>
        <w:keepNext w:val="true"/>
        <w:keepLines/>
        <w:ind w:hanging="720" w:start="1440" w:end="0"/>
        <w:jc w:val="both"/>
        <w:rPr>
          <w:sz w:val="22"/>
          <w:szCs w:val="22"/>
        </w:rPr>
      </w:pPr>
      <w:r>
        <w:rPr>
          <w:sz w:val="22"/>
          <w:szCs w:val="22"/>
        </w:rPr>
      </w:r>
    </w:p>
    <w:p>
      <w:pPr>
        <w:pStyle w:val="BodyTextIndent"/>
        <w:keepNext w:val="true"/>
        <w:keepLines/>
        <w:spacing w:lineRule="auto" w:line="240" w:before="0" w:after="0"/>
        <w:rPr/>
      </w:pPr>
      <w:r>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keepNext w:val="true"/>
        <w:keepLines/>
        <w:spacing w:lineRule="exact" w:line="240" w:before="480" w:after="0"/>
        <w:jc w:val="both"/>
        <w:rPr>
          <w:b/>
          <w:bCs/>
          <w:sz w:val="22"/>
          <w:szCs w:val="22"/>
        </w:rPr>
      </w:pPr>
      <w:r>
        <w:rPr>
          <w:b/>
          <w:bCs/>
          <w:sz w:val="22"/>
          <w:szCs w:val="22"/>
        </w:rPr>
      </w:r>
    </w:p>
    <w:p>
      <w:pPr>
        <w:pStyle w:val="Normal"/>
        <w:keepNext w:val="true"/>
        <w:keepLines/>
        <w:spacing w:lineRule="exact" w:line="240" w:before="480" w:after="0"/>
        <w:jc w:val="both"/>
        <w:rPr>
          <w:sz w:val="22"/>
          <w:szCs w:val="22"/>
        </w:rPr>
      </w:pPr>
      <w:r>
        <w:rPr>
          <w:b/>
          <w:bCs/>
          <w:sz w:val="22"/>
          <w:szCs w:val="22"/>
        </w:rPr>
        <w:t>Part 2.  Tax Representations.</w:t>
      </w:r>
    </w:p>
    <w:p>
      <w:pPr>
        <w:pStyle w:val="Normal"/>
        <w:keepNext w:val="true"/>
        <w:keepLines/>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keepLines/>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keepNext w:val="true"/>
        <w:keepLines/>
        <w:spacing w:lineRule="exact" w:line="240" w:before="240" w:after="0"/>
        <w:ind w:hanging="720" w:start="900" w:end="0"/>
        <w:jc w:val="both"/>
        <w:rPr>
          <w:sz w:val="22"/>
          <w:szCs w:val="22"/>
        </w:rPr>
      </w:pPr>
      <w:r>
        <w:rPr>
          <w:sz w:val="22"/>
          <w:szCs w:val="22"/>
        </w:rPr>
        <w:t>(i)</w:t>
        <w:tab/>
        <w:t>The following representation applies to Party A:</w:t>
      </w:r>
    </w:p>
    <w:p>
      <w:pPr>
        <w:pStyle w:val="Normal"/>
        <w:keepNext w:val="true"/>
        <w:keepLines/>
        <w:spacing w:lineRule="exact" w:line="240" w:before="240" w:after="0"/>
        <w:ind w:start="900" w:end="0"/>
        <w:jc w:val="both"/>
        <w:rPr>
          <w:sz w:val="22"/>
          <w:szCs w:val="22"/>
        </w:rPr>
      </w:pPr>
      <w:r>
        <w:rPr>
          <w:sz w:val="22"/>
          <w:szCs w:val="22"/>
        </w:rPr>
        <w:t>Party A is a corporation organized under the laws of the State of Delaware and is treated as a corporation for United States tax purposes.</w:t>
      </w:r>
    </w:p>
    <w:p>
      <w:pPr>
        <w:pStyle w:val="Normal"/>
        <w:keepNext w:val="true"/>
        <w:keepLines/>
        <w:spacing w:lineRule="exact" w:line="240" w:before="240" w:after="0"/>
        <w:ind w:hanging="720" w:start="900" w:end="0"/>
        <w:jc w:val="both"/>
        <w:rPr>
          <w:sz w:val="22"/>
          <w:szCs w:val="22"/>
        </w:rPr>
      </w:pPr>
      <w:r>
        <w:rPr>
          <w:sz w:val="22"/>
          <w:szCs w:val="22"/>
        </w:rPr>
        <w:t>(ii)</w:t>
        <w:tab/>
        <w:t>The following representation applies to Party B:</w:t>
      </w:r>
    </w:p>
    <w:p>
      <w:pPr>
        <w:pStyle w:val="Normal"/>
        <w:keepNext w:val="true"/>
        <w:keepLines/>
        <w:spacing w:lineRule="exact" w:line="240" w:before="240" w:after="0"/>
        <w:ind w:start="900" w:end="0"/>
        <w:jc w:val="both"/>
        <w:rPr>
          <w:sz w:val="22"/>
          <w:szCs w:val="22"/>
        </w:rPr>
      </w:pPr>
      <w:r>
        <w:rPr>
          <w:sz w:val="22"/>
          <w:szCs w:val="22"/>
        </w:rPr>
        <w:t>Party B is a limited partnership organized under the laws of the State of Delaware and is treated as a partnership for federal income tax purposes.</w:t>
      </w:r>
    </w:p>
    <w:p>
      <w:pPr>
        <w:pStyle w:val="Heading4"/>
        <w:keepLines/>
        <w:spacing w:before="240" w:after="0"/>
        <w:ind w:hanging="0" w:start="0"/>
        <w:rPr/>
      </w:pPr>
      <w:r>
        <w:rPr/>
        <w:t>Part 3.</w:t>
        <w:tab/>
        <w:t>Agreement to Deliver Documents</w:t>
      </w:r>
    </w:p>
    <w:p>
      <w:pPr>
        <w:pStyle w:val="Normal"/>
        <w:keepNext w:val="true"/>
        <w:keepLines/>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keepLine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keepNext w:val="true"/>
        <w:keepLines/>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keepLines/>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keepLines/>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keepLines/>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keepLines/>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keepLines/>
              <w:spacing w:lineRule="atLeast" w:line="240" w:before="240" w:after="0"/>
              <w:jc w:val="both"/>
              <w:rPr>
                <w:b/>
                <w:bCs/>
                <w:sz w:val="22"/>
                <w:szCs w:val="22"/>
              </w:rPr>
            </w:pPr>
            <w:r>
              <w:rPr>
                <w:sz w:val="22"/>
                <w:szCs w:val="22"/>
              </w:rPr>
              <w:t xml:space="preserve">Party A </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Agreement and as otherwise provided in Part 3(a) above</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8" w:type="dxa"/>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keepNext w:val="true"/>
              <w:keepLines/>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keepNext w:val="true"/>
              <w:keepLines/>
              <w:spacing w:lineRule="atLeast" w:line="240" w:before="240" w:after="0"/>
              <w:rPr>
                <w:sz w:val="22"/>
                <w:szCs w:val="22"/>
              </w:rPr>
            </w:pPr>
            <w:r>
              <w:rPr>
                <w:sz w:val="22"/>
                <w:szCs w:val="22"/>
              </w:rPr>
              <w:t>Promptly following demand by Party A</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No</w:t>
            </w:r>
          </w:p>
        </w:tc>
      </w:tr>
      <w:tr>
        <w:trPr>
          <w:trHeight w:val="3807" w:hRule="atLeast"/>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69"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Promptly following demand by Party A</w:t>
            </w:r>
          </w:p>
        </w:tc>
        <w:tc>
          <w:tcPr>
            <w:tcW w:w="1980" w:type="dxa"/>
            <w:tcBorders/>
          </w:tcPr>
          <w:p>
            <w:pPr>
              <w:pStyle w:val="Normal"/>
              <w:keepNext w:val="true"/>
              <w:keepLines/>
              <w:spacing w:lineRule="atLeast" w:line="240" w:before="240" w:after="0"/>
              <w:jc w:val="center"/>
              <w:rPr>
                <w:sz w:val="22"/>
                <w:szCs w:val="22"/>
              </w:rPr>
            </w:pPr>
            <w:r>
              <w:rPr>
                <w:sz w:val="22"/>
                <w:szCs w:val="22"/>
              </w:rPr>
              <w:t>Yes</w:t>
            </w:r>
          </w:p>
        </w:tc>
      </w:tr>
    </w:tbl>
    <w:p>
      <w:pPr>
        <w:pStyle w:val="Normal"/>
        <w:keepNext w:val="true"/>
        <w:keepLines/>
        <w:spacing w:lineRule="exact" w:line="240" w:before="480" w:after="0"/>
        <w:jc w:val="both"/>
        <w:rPr>
          <w:b/>
          <w:bCs/>
          <w:sz w:val="22"/>
          <w:szCs w:val="22"/>
        </w:rPr>
      </w:pPr>
      <w:r>
        <w:rPr>
          <w:b/>
          <w:bCs/>
          <w:sz w:val="22"/>
          <w:szCs w:val="22"/>
        </w:rPr>
        <w:t>Part 4.  Miscellaneous.</w:t>
      </w:r>
    </w:p>
    <w:p>
      <w:pPr>
        <w:pStyle w:val="Normal"/>
        <w:keepNext w:val="true"/>
        <w:keepLines/>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keepLine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keepNext w:val="true"/>
              <w:keepLines/>
              <w:widowControl/>
              <w:tabs>
                <w:tab w:val="clear" w:pos="720"/>
                <w:tab w:val="left" w:pos="2880" w:leader="none"/>
                <w:tab w:val="left" w:pos="4320" w:leader="none"/>
                <w:tab w:val="left" w:pos="9360" w:leader="none"/>
              </w:tabs>
              <w:spacing w:lineRule="atLeast" w:line="240" w:before="0" w:after="0"/>
              <w:rPr>
                <w:rFonts w:ascii="Times New Roman" w:hAnsi="Times New Roman" w:cs="Times New Roman"/>
              </w:rPr>
            </w:pPr>
            <w:r>
              <w:rPr>
                <w:rFonts w:cs="Times New Roman" w:ascii="Times New Roman" w:hAnsi="Times New Roman"/>
              </w:rPr>
              <w:t xml:space="preserve">Address: </w:t>
            </w:r>
          </w:p>
          <w:p>
            <w:pPr>
              <w:pStyle w:val="Normal"/>
              <w:keepNext w:val="true"/>
              <w:keepLines/>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keepLines/>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keepLines/>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keepLines/>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keepLines/>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spacing w:lineRule="exact" w:line="240"/>
        <w:jc w:val="both"/>
        <w:rPr>
          <w:sz w:val="22"/>
          <w:szCs w:val="22"/>
        </w:rPr>
      </w:pPr>
      <w:r>
        <w:rPr>
          <w:sz w:val="22"/>
          <w:szCs w:val="22"/>
        </w:rPr>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Catequil Partners,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c/o Catequil Management,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1251 Avenue of the Americas</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New York, New York 10020</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Attention: James Giordano</w:t>
            </w:r>
          </w:p>
        </w:tc>
        <w:tc>
          <w:tcPr>
            <w:tcW w:w="3290" w:type="dxa"/>
            <w:tcBorders/>
          </w:tcPr>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(212) 899-4210  </w:t>
            </w:r>
          </w:p>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(212) 899-4205</w:t>
            </w:r>
          </w:p>
        </w:tc>
      </w:tr>
    </w:tbl>
    <w:p>
      <w:pPr>
        <w:pStyle w:val="Normal"/>
        <w:keepNext w:val="true"/>
        <w:keepLines/>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keepNext w:val="true"/>
        <w:keepLines/>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keepNext w:val="true"/>
        <w:keepLines/>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keepNext w:val="true"/>
        <w:keepLines/>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keepNext w:val="true"/>
        <w:keepLines/>
        <w:spacing w:lineRule="exact" w:line="240" w:before="240" w:after="0"/>
        <w:ind w:firstLine="720" w:end="0"/>
        <w:jc w:val="both"/>
        <w:rPr/>
      </w:pPr>
      <w:r>
        <w:rPr>
          <w:sz w:val="22"/>
          <w:szCs w:val="22"/>
        </w:rPr>
        <w:t>(g)</w:t>
        <w:tab/>
      </w:r>
      <w:r>
        <w:rPr>
          <w:b/>
          <w:bCs/>
          <w:sz w:val="22"/>
          <w:szCs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keepNext w:val="true"/>
        <w:keepLines/>
        <w:spacing w:lineRule="exact" w:line="240" w:before="480" w:after="0"/>
        <w:jc w:val="both"/>
        <w:rPr>
          <w:b/>
          <w:bCs/>
          <w:sz w:val="22"/>
          <w:szCs w:val="22"/>
        </w:rPr>
      </w:pPr>
      <w:r>
        <w:rPr>
          <w:b/>
          <w:bCs/>
          <w:sz w:val="22"/>
          <w:szCs w:val="22"/>
        </w:rPr>
        <w:t>Part 5.  Other Provisions.</w:t>
      </w:r>
    </w:p>
    <w:p>
      <w:pPr>
        <w:pStyle w:val="Normal"/>
        <w:keepNext w:val="true"/>
        <w:keepLines/>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keepNext w:val="true"/>
        <w:keepLines/>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It constitutes an “eligible contract participant” as such term is defined in the Commodity Exchange Act, as amended 7 U.S.C. §1a(12).</w:t>
      </w:r>
    </w:p>
    <w:p>
      <w:pPr>
        <w:pStyle w:val="Normal"/>
        <w:keepNext w:val="true"/>
        <w:keepLines/>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ind w:firstLine="720" w:end="0"/>
        <w:jc w:val="both"/>
        <w:rPr>
          <w:sz w:val="22"/>
          <w:szCs w:val="22"/>
        </w:rPr>
      </w:pPr>
      <w:r>
        <w:rPr>
          <w:sz w:val="22"/>
          <w:szCs w:val="22"/>
        </w:rPr>
      </w:r>
    </w:p>
    <w:p>
      <w:pPr>
        <w:pStyle w:val="Normal"/>
        <w:keepNext w:val="true"/>
        <w:keepLines/>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keepNext w:val="true"/>
        <w:keepLines/>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keepNext w:val="true"/>
        <w:keepLines/>
        <w:jc w:val="both"/>
        <w:rPr>
          <w:sz w:val="22"/>
          <w:szCs w:val="22"/>
        </w:rPr>
      </w:pPr>
      <w:r>
        <w:rPr>
          <w:sz w:val="22"/>
          <w:szCs w:val="22"/>
        </w:rPr>
      </w:r>
    </w:p>
    <w:p>
      <w:pPr>
        <w:pStyle w:val="Normal"/>
        <w:keepNext w:val="true"/>
        <w:keepLines/>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keepLines/>
        <w:ind w:start="72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keepLines/>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720" w:start="720" w:end="0"/>
        <w:jc w:val="both"/>
        <w:rPr>
          <w:sz w:val="22"/>
          <w:szCs w:val="22"/>
        </w:rPr>
      </w:pPr>
      <w:r>
        <w:rPr>
          <w:sz w:val="22"/>
          <w:szCs w:val="22"/>
        </w:rPr>
        <w:t>“</w:t>
      </w:r>
      <w:r>
        <w:rPr>
          <w:sz w:val="22"/>
          <w:szCs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keepNext w:val="true"/>
        <w:keepLines/>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spacing w:lineRule="exact" w:line="240"/>
        <w:ind w:firstLine="720" w:end="0"/>
        <w:jc w:val="both"/>
        <w:rPr>
          <w:sz w:val="22"/>
          <w:szCs w:val="22"/>
        </w:rPr>
      </w:pPr>
      <w:r>
        <w:rPr>
          <w:sz w:val="22"/>
          <w:szCs w:val="22"/>
        </w:rPr>
      </w:r>
    </w:p>
    <w:p>
      <w:pPr>
        <w:pStyle w:val="Normal"/>
        <w:keepNext w:val="true"/>
        <w:keepLines/>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keepNext w:val="true"/>
        <w:keepLines/>
        <w:spacing w:lineRule="atLeast" w:line="240" w:before="240" w:after="0"/>
        <w:ind w:start="720" w:end="0"/>
        <w:jc w:val="both"/>
        <w:rPr/>
      </w:pPr>
      <w:r>
        <w:rPr>
          <w:sz w:val="22"/>
          <w:szCs w:val="22"/>
        </w:rPr>
        <w:t>(a)</w:t>
        <w:tab/>
      </w:r>
      <w:r>
        <w:rPr>
          <w:b/>
          <w:bCs/>
          <w:sz w:val="22"/>
          <w:szCs w:val="22"/>
        </w:rPr>
        <w:t>“Affiliate”</w:t>
      </w:r>
      <w:r>
        <w:rPr>
          <w:sz w:val="22"/>
          <w:szCs w:val="22"/>
        </w:rPr>
        <w:t xml:space="preserve"> shall mean Catequil Overseas Partners, Ltd.</w:t>
      </w:r>
    </w:p>
    <w:p>
      <w:pPr>
        <w:pStyle w:val="Normal"/>
        <w:keepNext w:val="true"/>
        <w:keepLines/>
        <w:spacing w:lineRule="atLeast" w:line="240" w:before="240" w:after="0"/>
        <w:ind w:start="720" w:end="0"/>
        <w:jc w:val="both"/>
        <w:rPr/>
      </w:pPr>
      <w:r>
        <w:rPr>
          <w:sz w:val="22"/>
          <w:szCs w:val="22"/>
        </w:rPr>
        <w:t>(b)</w:t>
        <w:tab/>
      </w:r>
      <w:r>
        <w:rPr>
          <w:b/>
          <w:bCs/>
          <w:sz w:val="22"/>
          <w:szCs w:val="22"/>
        </w:rPr>
        <w:t xml:space="preserve">“Net Asset Value” </w:t>
      </w:r>
      <w:r>
        <w:rPr>
          <w:sz w:val="22"/>
          <w:szCs w:val="22"/>
        </w:rPr>
        <w:t>has the meaning set forth in Section 3.1(d) of the Limited Partnership Agreement of Party B” dated as of _________________________.</w:t>
      </w:r>
    </w:p>
    <w:p>
      <w:pPr>
        <w:pStyle w:val="Normal"/>
        <w:keepNext w:val="true"/>
        <w:keepLines/>
        <w:spacing w:lineRule="atLeast" w:line="240" w:before="240" w:after="0"/>
        <w:ind w:start="720" w:end="0"/>
        <w:jc w:val="both"/>
        <w:rPr/>
      </w:pPr>
      <w:r>
        <w:rPr>
          <w:sz w:val="22"/>
          <w:szCs w:val="22"/>
        </w:rPr>
        <w:t>(c)</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keepNext w:val="true"/>
        <w:keepLines/>
        <w:spacing w:lineRule="atLeast" w:line="240" w:before="240" w:after="0"/>
        <w:ind w:start="720" w:end="0"/>
        <w:jc w:val="both"/>
        <w:rPr/>
      </w:pPr>
      <w:r>
        <w:rPr>
          <w:sz w:val="22"/>
          <w:szCs w:val="22"/>
        </w:rPr>
        <w:t>(d)</w:t>
        <w:tab/>
      </w:r>
      <w:r>
        <w:rPr>
          <w:b/>
          <w:bCs/>
          <w:sz w:val="22"/>
          <w:szCs w:val="22"/>
        </w:rPr>
        <w:t xml:space="preserve">“Management Agreement” </w:t>
      </w:r>
      <w:r>
        <w:rPr>
          <w:sz w:val="22"/>
          <w:szCs w:val="22"/>
        </w:rPr>
        <w:t>means that certain investment management agreement dated ____________ between Party B and the Manager.</w:t>
      </w:r>
    </w:p>
    <w:p>
      <w:pPr>
        <w:pStyle w:val="BodyTextIndent"/>
        <w:keepNext w:val="true"/>
        <w:keepLines/>
        <w:spacing w:lineRule="atLeast" w:line="240"/>
        <w:rPr/>
      </w:pPr>
      <w:r>
        <w:rPr/>
        <w:t>(e)</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w:t>
      </w:r>
    </w:p>
    <w:p>
      <w:pPr>
        <w:pStyle w:val="Normal"/>
        <w:keepNext w:val="true"/>
        <w:keepLines/>
        <w:spacing w:lineRule="atLeast" w:line="240" w:before="240" w:after="0"/>
        <w:ind w:start="720" w:end="0"/>
        <w:jc w:val="both"/>
        <w:rPr/>
      </w:pPr>
      <w:r>
        <w:rPr>
          <w:sz w:val="22"/>
          <w:szCs w:val="22"/>
        </w:rPr>
        <w:t>(f)</w:t>
        <w:tab/>
      </w:r>
      <w:r>
        <w:rPr>
          <w:b/>
          <w:bCs/>
          <w:sz w:val="22"/>
          <w:szCs w:val="22"/>
        </w:rPr>
        <w:t xml:space="preserve">“Manager” </w:t>
      </w:r>
      <w:r>
        <w:rPr>
          <w:sz w:val="22"/>
          <w:szCs w:val="22"/>
        </w:rPr>
        <w:t>means Catequil Associates, LLC.</w:t>
      </w:r>
    </w:p>
    <w:p>
      <w:pPr>
        <w:pStyle w:val="Normal"/>
        <w:keepNext w:val="true"/>
        <w:keepLines/>
        <w:ind w:start="360" w:end="0"/>
        <w:jc w:val="both"/>
        <w:rPr>
          <w:rFonts w:ascii="Arial Narrow" w:hAnsi="Arial Narrow" w:cs="Arial Narrow"/>
          <w:sz w:val="18"/>
          <w:szCs w:val="22"/>
        </w:rPr>
      </w:pPr>
      <w:r>
        <w:rPr>
          <w:rFonts w:cs="Arial Narrow" w:ascii="Arial Narrow" w:hAnsi="Arial Narrow"/>
          <w:sz w:val="18"/>
          <w:szCs w:val="22"/>
        </w:rPr>
      </w:r>
    </w:p>
    <w:p>
      <w:pPr>
        <w:pStyle w:val="Normal"/>
        <w:keepNext w:val="true"/>
        <w:keepLines/>
        <w:ind w:start="720" w:end="0"/>
        <w:jc w:val="both"/>
        <w:rPr/>
      </w:pPr>
      <w:r>
        <w:rPr>
          <w:sz w:val="22"/>
        </w:rPr>
        <w:t>(g)</w:t>
        <w:tab/>
      </w:r>
      <w:r>
        <w:rPr>
          <w:b/>
          <w:bCs/>
          <w:sz w:val="22"/>
        </w:rPr>
        <w:t>“S&amp;P”</w:t>
      </w:r>
      <w:r>
        <w:rPr>
          <w:sz w:val="22"/>
        </w:rPr>
        <w:t xml:space="preserve"> means the Standard &amp; Poor’s Rating Group (a division of McGraw-Hill, Inc.) or its successor.</w:t>
      </w:r>
    </w:p>
    <w:p>
      <w:pPr>
        <w:pStyle w:val="Normal"/>
        <w:keepNext w:val="true"/>
        <w:keepLines/>
        <w:ind w:start="720" w:end="0"/>
        <w:jc w:val="both"/>
        <w:rPr>
          <w:sz w:val="22"/>
        </w:rPr>
      </w:pPr>
      <w:r>
        <w:rPr>
          <w:sz w:val="22"/>
        </w:rPr>
      </w:r>
    </w:p>
    <w:p>
      <w:pPr>
        <w:pStyle w:val="Normal"/>
        <w:keepNext w:val="true"/>
        <w:keepLines/>
        <w:ind w:start="720" w:end="0"/>
        <w:jc w:val="both"/>
        <w:rPr/>
      </w:pPr>
      <w:r>
        <w:rPr>
          <w:sz w:val="22"/>
        </w:rPr>
        <w:t>(h)</w:t>
        <w:tab/>
      </w:r>
      <w:r>
        <w:rPr>
          <w:b/>
          <w:bCs/>
          <w:sz w:val="22"/>
        </w:rPr>
        <w:t>“Moody’s”</w:t>
      </w:r>
      <w:r>
        <w:rPr>
          <w:sz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w:t>
        <w:tab/>
        <w:t xml:space="preserve">“materially weaker” as used in Section 5(b)(iv) of the Agreement shall mean with respect to Party A, </w:t>
      </w:r>
      <w:r>
        <w:rPr>
          <w:sz w:val="22"/>
        </w:rPr>
        <w:t xml:space="preserve">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spacing w:lineRule="atLeast" w:line="240" w:before="240" w:after="0"/>
        <w:ind w:firstLine="720" w:end="0"/>
        <w:jc w:val="both"/>
        <w:rPr/>
      </w:pPr>
      <w:r>
        <w:rPr>
          <w:sz w:val="22"/>
          <w:szCs w:val="22"/>
        </w:rPr>
        <w:t>(q)</w:t>
        <w:tab/>
      </w:r>
      <w:r>
        <w:rPr>
          <w:b/>
          <w:bCs/>
          <w:sz w:val="22"/>
          <w:szCs w:val="22"/>
        </w:rPr>
        <w:t>“Accuracy of Specified Information”</w:t>
      </w:r>
      <w:r>
        <w:rPr>
          <w:sz w:val="22"/>
          <w:szCs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spacing w:before="480" w:after="0"/>
        <w:jc w:val="both"/>
        <w:rPr>
          <w:b/>
          <w:bCs/>
          <w:sz w:val="22"/>
          <w:szCs w:val="22"/>
        </w:rPr>
      </w:pPr>
      <w:r>
        <w:rPr>
          <w:b/>
          <w:bCs/>
          <w:sz w:val="22"/>
          <w:szCs w:val="22"/>
        </w:rPr>
        <w:t>Part 6.  Additional Provisions For Commodity Derivatives Transactions.</w:t>
      </w:r>
    </w:p>
    <w:p>
      <w:pPr>
        <w:pStyle w:val="Justified"/>
        <w:keepNext w:val="true"/>
        <w:keepLines/>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keepNext w:val="true"/>
        <w:keepLines/>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(c)</w:t>
        <w:tab/>
        <w:t>Section 7.4(c)(viii) of the Commodity Definitions is hereby amended by the addition of the following at the end thereof:</w:t>
      </w:r>
    </w:p>
    <w:p>
      <w:pPr>
        <w:pStyle w:val="Normal"/>
        <w:keepNext w:val="true"/>
        <w:keepLines/>
        <w:ind w:firstLine="720" w:end="0"/>
        <w:jc w:val="both"/>
        <w:rPr>
          <w:sz w:val="22"/>
          <w:szCs w:val="22"/>
        </w:rPr>
      </w:pPr>
      <w:r>
        <w:rPr>
          <w:sz w:val="22"/>
          <w:szCs w:val="22"/>
        </w:rPr>
      </w:r>
    </w:p>
    <w:p>
      <w:pPr>
        <w:pStyle w:val="Normal"/>
        <w:keepNext w:val="true"/>
        <w:keepLines/>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ind w:firstLine="720" w:start="720" w:end="0"/>
        <w:jc w:val="both"/>
        <w:rPr>
          <w:sz w:val="22"/>
          <w:szCs w:val="22"/>
        </w:rPr>
      </w:pPr>
      <w:r>
        <w:rPr>
          <w:sz w:val="22"/>
          <w:szCs w:val="22"/>
        </w:rPr>
      </w:r>
    </w:p>
    <w:p>
      <w:pPr>
        <w:pStyle w:val="Normal"/>
        <w:keepNext w:val="true"/>
        <w:keepLines/>
        <w:ind w:firstLine="720" w:end="0"/>
        <w:jc w:val="both"/>
        <w:rPr>
          <w:sz w:val="22"/>
          <w:szCs w:val="22"/>
        </w:rPr>
      </w:pPr>
      <w:r>
        <w:rPr>
          <w:sz w:val="22"/>
          <w:szCs w:val="22"/>
        </w:rPr>
        <w:t>(d)</w:t>
        <w:tab/>
        <w:t>Section 7.5(e) of the Commodity Definitions is hereby deleted.</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(e)</w:t>
        <w:tab/>
        <w:t>“Additional Market Disruption Events” shall apply only if so specified in the relevant Confirmation.</w:t>
      </w:r>
    </w:p>
    <w:p>
      <w:pPr>
        <w:pStyle w:val="Normal"/>
        <w:keepNext w:val="true"/>
        <w:keepLines/>
        <w:ind w:firstLine="720" w:end="0"/>
        <w:jc w:val="both"/>
        <w:rPr>
          <w:sz w:val="22"/>
          <w:szCs w:val="22"/>
        </w:rPr>
      </w:pPr>
      <w:r>
        <w:rPr>
          <w:sz w:val="22"/>
          <w:szCs w:val="22"/>
        </w:rPr>
      </w:r>
    </w:p>
    <w:p>
      <w:pPr>
        <w:pStyle w:val="BodyTextIndent2"/>
        <w:keepNext w:val="true"/>
        <w:keepLines/>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jc w:val="both"/>
        <w:rPr>
          <w:rFonts w:ascii="Times New Roman" w:hAnsi="Times New Roman" w:cs="Times New Roman"/>
          <w:sz w:val="22"/>
          <w:szCs w:val="22"/>
        </w:rPr>
      </w:pPr>
      <w:r>
        <w:rPr>
          <w:rFonts w:cs="Times New Roman"/>
          <w:sz w:val="22"/>
          <w:szCs w:val="22"/>
        </w:rPr>
      </w:r>
    </w:p>
    <w:p>
      <w:pPr>
        <w:pStyle w:val="BlockText"/>
        <w:keepNext w:val="true"/>
        <w:keepLines/>
        <w:ind w:hanging="720" w:start="1440" w:end="720"/>
        <w:rPr/>
      </w:pPr>
      <w:r>
        <w:rPr/>
        <w:t>(i)</w:t>
        <w:tab/>
        <w:t>“Postponement”, with three (3) Commodity Business Days as the Maximum Days of Disruption;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w:t>
        <w:tab/>
        <w:t>“Fallback Reference Price” (if the relevant parties have specified an alternate Commodity Reference Price in the Confirmation);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(iii)</w:t>
        <w:tab/>
        <w:t>“Negotiated Fallback” (provided that the reference in Section 7.5(c)(iv) to “fifth Business Day” shall be amended to be “twelfth Business Day”); and</w:t>
      </w:r>
    </w:p>
    <w:p>
      <w:pPr>
        <w:pStyle w:val="Normal"/>
        <w:keepNext w:val="true"/>
        <w:keepLines/>
        <w:ind w:hanging="720" w:start="1440" w:end="72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keepNext w:val="true"/>
        <w:keepLines/>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keepLines/>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lineRule="exact" w:line="240"/>
              <w:jc w:val="both"/>
              <w:rPr>
                <w:sz w:val="22"/>
                <w:szCs w:val="22"/>
              </w:rPr>
            </w:pPr>
            <w:r>
              <w:rPr>
                <w:b/>
                <w:bCs/>
                <w:sz w:val="22"/>
                <w:szCs w:val="22"/>
              </w:rPr>
              <w:t>ENRON NORTH AMERICA CORP.</w:t>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pPr>
            <w:r>
              <w:rPr>
                <w:sz w:val="22"/>
                <w:szCs w:val="22"/>
              </w:rPr>
              <w:t>By:</w:t>
              <w:tab/>
            </w:r>
            <w:r>
              <w:rPr>
                <w:sz w:val="22"/>
                <w:szCs w:val="22"/>
                <w:u w:val="single"/>
              </w:rPr>
              <w:tab/>
              <w:tab/>
              <w:tab/>
              <w:tab/>
              <w:tab/>
            </w:r>
          </w:p>
          <w:p>
            <w:pPr>
              <w:pStyle w:val="Normal"/>
              <w:keepNext w:val="true"/>
              <w:keepLines/>
              <w:spacing w:lineRule="exact" w:line="240"/>
              <w:jc w:val="both"/>
              <w:rPr>
                <w:sz w:val="22"/>
                <w:szCs w:val="22"/>
              </w:rPr>
            </w:pPr>
            <w:r>
              <w:rPr>
                <w:sz w:val="22"/>
                <w:szCs w:val="22"/>
              </w:rPr>
              <w:t>Name:</w:t>
              <w:tab/>
            </w:r>
            <w:r>
              <w:rPr>
                <w:sz w:val="22"/>
                <w:szCs w:val="22"/>
                <w:u w:val="single"/>
              </w:rPr>
              <w:tab/>
              <w:tab/>
              <w:tab/>
              <w:tab/>
              <w:tab/>
            </w:r>
          </w:p>
          <w:p>
            <w:pPr>
              <w:pStyle w:val="Normal"/>
              <w:keepNext w:val="true"/>
              <w:keepLines/>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keepLines/>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keepLines/>
              <w:spacing w:lineRule="exact" w:line="240"/>
              <w:jc w:val="both"/>
              <w:rPr>
                <w:b/>
                <w:bCs/>
                <w:caps/>
                <w:sz w:val="22"/>
                <w:szCs w:val="22"/>
              </w:rPr>
            </w:pPr>
            <w:r>
              <w:rPr>
                <w:b/>
                <w:bCs/>
                <w:caps/>
                <w:sz w:val="22"/>
                <w:szCs w:val="22"/>
              </w:rPr>
              <w:t>Catequil partners, l.p.</w:t>
            </w:r>
          </w:p>
          <w:p>
            <w:pPr>
              <w:pStyle w:val="Justified"/>
              <w:keepNext w:val="true"/>
              <w:keepLines/>
              <w:widowControl/>
              <w:spacing w:lineRule="exact" w:line="240" w:before="0" w:after="0"/>
              <w:rPr>
                <w:rFonts w:ascii="Times New Roman" w:hAnsi="Times New Roman" w:cs="Times New Roman"/>
                <w:b/>
                <w:bCs/>
                <w:caps/>
                <w:sz w:val="22"/>
                <w:szCs w:val="22"/>
              </w:rPr>
            </w:pPr>
            <w:r>
              <w:rPr>
                <w:rFonts w:cs="Times New Roman" w:ascii="Times New Roman" w:hAnsi="Times New Roman"/>
                <w:b/>
                <w:bCs/>
                <w:caps/>
                <w:sz w:val="22"/>
                <w:szCs w:val="22"/>
              </w:rPr>
            </w:r>
          </w:p>
          <w:p>
            <w:pPr>
              <w:pStyle w:val="Justified"/>
              <w:keepNext w:val="true"/>
              <w:keepLines/>
              <w:widowControl/>
              <w:spacing w:lineRule="exact" w:line="240" w:before="0" w:after="0"/>
              <w:rPr>
                <w:rFonts w:ascii="Times New Roman" w:hAnsi="Times New Roman" w:cs="Times New Roman"/>
                <w:bCs/>
              </w:rPr>
            </w:pPr>
            <w:r>
              <w:rPr>
                <w:rFonts w:cs="Times New Roman" w:ascii="Times New Roman" w:hAnsi="Times New Roman"/>
                <w:bCs/>
              </w:rPr>
              <w:t>By:</w:t>
              <w:tab/>
            </w:r>
            <w:r>
              <w:rPr>
                <w:rFonts w:cs="Times New Roman" w:ascii="Times New Roman" w:hAnsi="Times New Roman"/>
              </w:rPr>
              <w:t>Catequil Associates LLC,</w:t>
            </w:r>
          </w:p>
          <w:p>
            <w:pPr>
              <w:pStyle w:val="Normal"/>
              <w:keepNext w:val="true"/>
              <w:keepLines/>
              <w:spacing w:lineRule="exact" w:line="240"/>
              <w:jc w:val="both"/>
              <w:rPr>
                <w:sz w:val="22"/>
                <w:szCs w:val="22"/>
              </w:rPr>
            </w:pPr>
            <w:r>
              <w:rPr>
                <w:sz w:val="22"/>
                <w:szCs w:val="22"/>
              </w:rPr>
              <w:tab/>
              <w:t>its General Partner</w:t>
            </w:r>
          </w:p>
          <w:p>
            <w:pPr>
              <w:pStyle w:val="Normal"/>
              <w:keepNext w:val="true"/>
              <w:keepLines/>
              <w:spacing w:lineRule="exact" w:line="240"/>
              <w:jc w:val="both"/>
              <w:rPr>
                <w:sz w:val="22"/>
                <w:szCs w:val="22"/>
              </w:rPr>
            </w:pPr>
            <w:r>
              <w:rPr>
                <w:sz w:val="22"/>
                <w:szCs w:val="22"/>
              </w:rPr>
            </w:r>
          </w:p>
          <w:p>
            <w:pPr>
              <w:pStyle w:val="Normal"/>
              <w:keepNext w:val="true"/>
              <w:keepLines/>
              <w:spacing w:lineRule="exact" w:line="240"/>
              <w:jc w:val="both"/>
              <w:rPr>
                <w:sz w:val="22"/>
                <w:szCs w:val="22"/>
              </w:rPr>
            </w:pPr>
            <w:r>
              <w:rPr>
                <w:sz w:val="22"/>
                <w:szCs w:val="22"/>
              </w:rPr>
            </w:r>
          </w:p>
          <w:p>
            <w:pPr>
              <w:pStyle w:val="Normal"/>
              <w:keepNext w:val="true"/>
              <w:keepLines/>
              <w:spacing w:lineRule="exact" w:line="240"/>
              <w:jc w:val="both"/>
              <w:rPr/>
            </w:pPr>
            <w:r>
              <w:rPr>
                <w:sz w:val="22"/>
                <w:szCs w:val="22"/>
              </w:rPr>
              <w:tab/>
              <w:t>By:</w:t>
            </w:r>
            <w:r>
              <w:rPr>
                <w:sz w:val="22"/>
                <w:szCs w:val="22"/>
                <w:u w:val="single"/>
              </w:rPr>
              <w:tab/>
              <w:tab/>
              <w:tab/>
              <w:tab/>
              <w:tab/>
            </w:r>
          </w:p>
          <w:p>
            <w:pPr>
              <w:pStyle w:val="Normal"/>
              <w:keepNext w:val="true"/>
              <w:keepLines/>
              <w:spacing w:lineRule="exact" w:line="240"/>
              <w:jc w:val="both"/>
              <w:rPr>
                <w:sz w:val="22"/>
                <w:szCs w:val="22"/>
              </w:rPr>
            </w:pPr>
            <w:r>
              <w:rPr>
                <w:sz w:val="22"/>
                <w:szCs w:val="22"/>
              </w:rPr>
              <w:tab/>
              <w:t>Name:</w:t>
            </w:r>
            <w:r>
              <w:rPr>
                <w:sz w:val="22"/>
                <w:szCs w:val="22"/>
                <w:u w:val="single"/>
              </w:rPr>
              <w:tab/>
              <w:tab/>
              <w:tab/>
              <w:tab/>
              <w:tab/>
            </w:r>
          </w:p>
          <w:p>
            <w:pPr>
              <w:pStyle w:val="Normal"/>
              <w:keepNext w:val="true"/>
              <w:keepLines/>
              <w:spacing w:lineRule="exact" w:line="240"/>
              <w:jc w:val="both"/>
              <w:rPr/>
            </w:pPr>
            <w:r>
              <w:rPr>
                <w:sz w:val="22"/>
                <w:szCs w:val="22"/>
              </w:rPr>
              <w:tab/>
              <w:t>Title:</w:t>
            </w:r>
            <w:r>
              <w:rPr>
                <w:sz w:val="22"/>
                <w:szCs w:val="22"/>
                <w:u w:val="single"/>
              </w:rPr>
              <w:tab/>
              <w:tab/>
              <w:tab/>
              <w:tab/>
              <w:tab/>
            </w:r>
          </w:p>
          <w:p>
            <w:pPr>
              <w:pStyle w:val="Normal"/>
              <w:keepNext w:val="true"/>
              <w:keepLines/>
              <w:spacing w:lineRule="exact" w:line="240"/>
              <w:jc w:val="both"/>
              <w:rPr>
                <w:sz w:val="22"/>
                <w:szCs w:val="22"/>
              </w:rPr>
            </w:pPr>
            <w:r>
              <w:rPr>
                <w:sz w:val="22"/>
                <w:szCs w:val="22"/>
              </w:rPr>
              <w:tab/>
              <w:t>Date:</w:t>
            </w:r>
            <w:r>
              <w:rPr>
                <w:sz w:val="22"/>
                <w:szCs w:val="22"/>
                <w:u w:val="single"/>
              </w:rPr>
              <w:tab/>
              <w:tab/>
              <w:tab/>
              <w:tab/>
              <w:tab/>
            </w:r>
          </w:p>
        </w:tc>
      </w:tr>
    </w:tbl>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t>ATTACHMENT 1</w:t>
      </w:r>
    </w:p>
    <w:p>
      <w:pPr>
        <w:pStyle w:val="Normal"/>
        <w:keepNext w:val="true"/>
        <w:keepLines/>
        <w:jc w:val="end"/>
        <w:rPr>
          <w:b/>
          <w:bCs/>
          <w:sz w:val="22"/>
          <w:szCs w:val="22"/>
        </w:rPr>
      </w:pPr>
      <w:r>
        <w:rPr>
          <w:b/>
          <w:bCs/>
          <w:sz w:val="22"/>
          <w:szCs w:val="22"/>
        </w:rPr>
      </w:r>
    </w:p>
    <w:p>
      <w:pPr>
        <w:pStyle w:val="Normal"/>
        <w:keepNext w:val="true"/>
        <w:keepLines/>
        <w:jc w:val="end"/>
        <w:rPr>
          <w:sz w:val="22"/>
          <w:szCs w:val="22"/>
        </w:rPr>
      </w:pPr>
      <w:r>
        <w:rPr>
          <w:sz w:val="22"/>
          <w:szCs w:val="22"/>
        </w:rPr>
      </w:r>
    </w:p>
    <w:p>
      <w:pPr>
        <w:pStyle w:val="Heading1"/>
        <w:keepLines/>
        <w:ind w:hanging="0" w:start="0"/>
        <w:rPr>
          <w:color w:val="000000"/>
        </w:rPr>
      </w:pPr>
      <w:r>
        <w:rPr>
          <w:color w:val="000000"/>
        </w:rPr>
        <w:t>LEGAL OPINION</w:t>
      </w:r>
    </w:p>
    <w:p>
      <w:pPr>
        <w:pStyle w:val="Normal"/>
        <w:keepNext w:val="true"/>
        <w:keepLines/>
        <w:rPr>
          <w:color w:val="000000"/>
          <w:sz w:val="22"/>
          <w:szCs w:val="22"/>
        </w:rPr>
      </w:pPr>
      <w:r>
        <w:rPr>
          <w:color w:val="000000"/>
          <w:sz w:val="22"/>
          <w:szCs w:val="22"/>
        </w:rPr>
      </w:r>
    </w:p>
    <w:p>
      <w:pPr>
        <w:pStyle w:val="Normal"/>
        <w:keepNext w:val="true"/>
        <w:keepLines/>
        <w:jc w:val="center"/>
        <w:rPr>
          <w:sz w:val="22"/>
          <w:szCs w:val="22"/>
        </w:rPr>
      </w:pPr>
      <w:r>
        <w:rPr>
          <w:sz w:val="22"/>
          <w:szCs w:val="22"/>
        </w:rPr>
        <w:t>[Letterhead of</w:t>
      </w:r>
    </w:p>
    <w:p>
      <w:pPr>
        <w:pStyle w:val="Normal"/>
        <w:keepNext w:val="true"/>
        <w:keepLines/>
        <w:jc w:val="center"/>
        <w:rPr>
          <w:sz w:val="22"/>
          <w:szCs w:val="22"/>
        </w:rPr>
      </w:pPr>
      <w:r>
        <w:rPr>
          <w:sz w:val="22"/>
          <w:szCs w:val="22"/>
        </w:rPr>
        <w:t>Counsel to Counterparty]</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t>[Date]</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rPr>
          <w:sz w:val="22"/>
          <w:szCs w:val="22"/>
        </w:rPr>
      </w:pPr>
      <w:r>
        <w:rPr>
          <w:sz w:val="22"/>
          <w:szCs w:val="22"/>
        </w:rPr>
        <w:t>Enron North America Corp.</w:t>
      </w:r>
    </w:p>
    <w:p>
      <w:pPr>
        <w:pStyle w:val="Normal"/>
        <w:keepNext w:val="true"/>
        <w:keepLines/>
        <w:rPr>
          <w:sz w:val="22"/>
          <w:szCs w:val="22"/>
        </w:rPr>
      </w:pPr>
      <w:r>
        <w:rPr>
          <w:sz w:val="22"/>
          <w:szCs w:val="22"/>
        </w:rPr>
        <w:t>1400 Smith Street</w:t>
      </w:r>
    </w:p>
    <w:p>
      <w:pPr>
        <w:pStyle w:val="Normal"/>
        <w:keepNext w:val="true"/>
        <w:keepLines/>
        <w:rPr>
          <w:sz w:val="22"/>
          <w:szCs w:val="22"/>
        </w:rPr>
      </w:pPr>
      <w:r>
        <w:rPr>
          <w:sz w:val="22"/>
          <w:szCs w:val="22"/>
        </w:rPr>
        <w:t>Houston, Texas  77002</w:t>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t>Dear Sir or Madam:</w:t>
      </w:r>
    </w:p>
    <w:p>
      <w:pPr>
        <w:pStyle w:val="Normal"/>
        <w:keepNext w:val="true"/>
        <w:keepLines/>
        <w:rPr>
          <w:sz w:val="22"/>
          <w:szCs w:val="22"/>
        </w:rPr>
      </w:pPr>
      <w:r>
        <w:rPr>
          <w:sz w:val="22"/>
          <w:szCs w:val="22"/>
        </w:rPr>
      </w:r>
    </w:p>
    <w:p>
      <w:pPr>
        <w:pStyle w:val="Normal"/>
        <w:keepNext w:val="true"/>
        <w:keepLines/>
        <w:ind w:firstLine="1440" w:end="0"/>
        <w:jc w:val="both"/>
        <w:rPr>
          <w:sz w:val="22"/>
          <w:szCs w:val="22"/>
        </w:rPr>
      </w:pPr>
      <w:r>
        <w:rPr>
          <w:sz w:val="22"/>
          <w:szCs w:val="22"/>
        </w:rPr>
        <w:t>We have acted as counsel to Catequil Partners,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jc w:val="both"/>
        <w:rPr>
          <w:sz w:val="22"/>
          <w:szCs w:val="22"/>
        </w:rPr>
      </w:pPr>
      <w:r>
        <w:rPr>
          <w:sz w:val="22"/>
          <w:szCs w:val="22"/>
        </w:rPr>
      </w:r>
    </w:p>
    <w:p>
      <w:pPr>
        <w:pStyle w:val="Normal"/>
        <w:keepNext w:val="true"/>
        <w:keepLines/>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b/>
        <w:tab/>
        <w:t>Based upon the foregoing and having regard for such legal considerations as we deem relevant, we are of opinion that:</w:t>
      </w:r>
    </w:p>
    <w:p>
      <w:pPr>
        <w:pStyle w:val="Normal"/>
        <w:keepNext w:val="true"/>
        <w:keepLine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keepNext w:val="true"/>
        <w:keepLines/>
        <w:tabs>
          <w:tab w:val="clear" w:pos="720"/>
          <w:tab w:val="left" w:pos="1440" w:leader="none"/>
        </w:tabs>
        <w:jc w:val="both"/>
        <w:rPr>
          <w:sz w:val="22"/>
          <w:szCs w:val="22"/>
        </w:rPr>
      </w:pPr>
      <w:r>
        <w:rPr>
          <w:sz w:val="22"/>
          <w:szCs w:val="22"/>
        </w:rPr>
      </w:r>
    </w:p>
    <w:p>
      <w:pPr>
        <w:pStyle w:val="Justified"/>
        <w:keepNext w:val="true"/>
        <w:keepLines/>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rPr>
          <w:sz w:val="22"/>
          <w:szCs w:val="22"/>
        </w:rPr>
      </w:pPr>
      <w:r>
        <w:rPr>
          <w:sz w:val="22"/>
          <w:szCs w:val="22"/>
        </w:rPr>
      </w:r>
    </w:p>
    <w:p>
      <w:pPr>
        <w:pStyle w:val="Normal"/>
        <w:keepNext w:val="true"/>
        <w:keepLines/>
        <w:jc w:val="end"/>
        <w:rPr>
          <w:sz w:val="22"/>
          <w:szCs w:val="22"/>
        </w:rPr>
      </w:pPr>
      <w:r>
        <w:rPr>
          <w:sz w:val="22"/>
          <w:szCs w:val="22"/>
        </w:rPr>
        <w:t>Very truly yours</w:t>
        <w:tab/>
        <w:tab/>
        <w:tab/>
      </w:r>
    </w:p>
    <w:p>
      <w:pPr>
        <w:pStyle w:val="Normal"/>
        <w:keepNext w:val="true"/>
        <w:keepLines/>
        <w:jc w:val="end"/>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keepLines/>
        <w:jc w:val="end"/>
        <w:rPr>
          <w:b/>
          <w:bCs/>
          <w:sz w:val="22"/>
          <w:szCs w:val="22"/>
        </w:rPr>
      </w:pPr>
      <w:r>
        <w:rPr>
          <w:b/>
          <w:bCs/>
          <w:sz w:val="22"/>
          <w:szCs w:val="22"/>
        </w:rPr>
      </w:r>
    </w:p>
    <w:p>
      <w:pPr>
        <w:pStyle w:val="Normal"/>
        <w:keepNext w:val="true"/>
        <w:keepLines/>
        <w:jc w:val="center"/>
        <w:rPr>
          <w:b/>
          <w:bCs/>
          <w:sz w:val="22"/>
          <w:szCs w:val="22"/>
          <w:u w:val="single"/>
        </w:rPr>
      </w:pPr>
      <w:r>
        <w:rPr>
          <w:b/>
          <w:bCs/>
          <w:sz w:val="22"/>
          <w:szCs w:val="22"/>
          <w:u w:val="single"/>
        </w:rPr>
        <w:t>PARAGRAPH 13</w:t>
      </w:r>
    </w:p>
    <w:p>
      <w:pPr>
        <w:pStyle w:val="Normal"/>
        <w:keepNext w:val="true"/>
        <w:keepLines/>
        <w:jc w:val="center"/>
        <w:rPr>
          <w:b/>
          <w:bCs/>
          <w:sz w:val="22"/>
          <w:szCs w:val="22"/>
        </w:rPr>
      </w:pPr>
      <w:r>
        <w:rPr>
          <w:b/>
          <w:bCs/>
          <w:sz w:val="22"/>
          <w:szCs w:val="22"/>
        </w:rPr>
        <w:t>to the</w:t>
      </w:r>
    </w:p>
    <w:p>
      <w:pPr>
        <w:pStyle w:val="Normal"/>
        <w:keepNext w:val="true"/>
        <w:keepLines/>
        <w:jc w:val="center"/>
        <w:rPr>
          <w:b/>
          <w:bCs/>
          <w:sz w:val="22"/>
          <w:szCs w:val="22"/>
        </w:rPr>
      </w:pPr>
      <w:r>
        <w:rPr>
          <w:b/>
          <w:bCs/>
          <w:sz w:val="22"/>
          <w:szCs w:val="22"/>
        </w:rPr>
        <w:t>ISDA CREDIT SUPPORT ANNEX</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dated as of _________________, 2000</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partners, l.p</w:t>
            </w:r>
            <w:r>
              <w:rPr>
                <w:b/>
                <w:bCs/>
                <w:sz w:val="22"/>
                <w:szCs w:val="22"/>
              </w:rPr>
              <w:t>., a limited partnership organized under the law of the State of Delaware (“Party B”)</w:t>
            </w:r>
          </w:p>
          <w:p>
            <w:pPr>
              <w:pStyle w:val="Normal"/>
              <w:keepNext w:val="true"/>
              <w:keepLines/>
              <w:tabs>
                <w:tab w:val="clear" w:pos="720"/>
                <w:tab w:val="center" w:pos="5760" w:leader="none"/>
              </w:tabs>
              <w:spacing w:before="240" w:after="0"/>
              <w:jc w:val="center"/>
              <w:rPr>
                <w:b/>
                <w:bCs/>
                <w:sz w:val="22"/>
                <w:szCs w:val="22"/>
              </w:rPr>
            </w:pPr>
            <w:r>
              <w:rPr>
                <w:b/>
                <w:bCs/>
                <w:sz w:val="22"/>
                <w:szCs w:val="22"/>
              </w:rPr>
            </w:r>
          </w:p>
        </w:tc>
      </w:tr>
    </w:tbl>
    <w:p>
      <w:pPr>
        <w:pStyle w:val="Justified"/>
        <w:keepNext w:val="true"/>
        <w:keepLines/>
        <w:widowControl/>
        <w:spacing w:before="0" w:after="0"/>
        <w:rPr>
          <w:rFonts w:ascii="Times New Roman" w:hAnsi="Times New Roman" w:cs="Times New Roman"/>
        </w:rPr>
      </w:pPr>
      <w:r>
        <w:rPr>
          <w:rFonts w:cs="Times New Roman" w:ascii="Times New Roman" w:hAnsi="Times New Roman"/>
        </w:rPr>
      </w:r>
    </w:p>
    <w:p>
      <w:pPr>
        <w:pStyle w:val="Normal"/>
        <w:keepNext w:val="true"/>
        <w:keepLines/>
        <w:jc w:val="both"/>
        <w:rPr>
          <w:sz w:val="22"/>
          <w:szCs w:val="22"/>
        </w:rPr>
      </w:pPr>
      <w:r>
        <w:rPr>
          <w:b/>
          <w:bCs/>
          <w:sz w:val="22"/>
          <w:szCs w:val="22"/>
        </w:rPr>
        <w:t>Paragraph 13.  Elections and Variables.</w:t>
      </w:r>
    </w:p>
    <w:p>
      <w:pPr>
        <w:pStyle w:val="Normal"/>
        <w:keepNext w:val="true"/>
        <w:keepLines/>
        <w:jc w:val="both"/>
        <w:rPr>
          <w:sz w:val="22"/>
          <w:szCs w:val="22"/>
        </w:rPr>
      </w:pPr>
      <w:r>
        <w:rPr>
          <w:sz w:val="22"/>
          <w:szCs w:val="22"/>
        </w:rPr>
      </w:r>
    </w:p>
    <w:p>
      <w:pPr>
        <w:pStyle w:val="Normal"/>
        <w:keepNext w:val="true"/>
        <w:keepLines/>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keepNext w:val="true"/>
        <w:keepLines/>
        <w:ind w:hanging="360" w:start="36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A:  None.</w:t>
      </w:r>
    </w:p>
    <w:p>
      <w:pPr>
        <w:pStyle w:val="Normal"/>
        <w:keepNext w:val="true"/>
        <w:keepLines/>
        <w:ind w:start="63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B:  None.</w:t>
      </w:r>
    </w:p>
    <w:p>
      <w:pPr>
        <w:pStyle w:val="Normal"/>
        <w:keepNext w:val="true"/>
        <w:keepLines/>
        <w:ind w:hanging="720" w:start="720" w:end="0"/>
        <w:jc w:val="both"/>
        <w:rPr>
          <w:sz w:val="22"/>
          <w:szCs w:val="22"/>
        </w:rPr>
      </w:pPr>
      <w:r>
        <w:rPr>
          <w:sz w:val="22"/>
          <w:szCs w:val="22"/>
        </w:rPr>
      </w:r>
    </w:p>
    <w:p>
      <w:pPr>
        <w:pStyle w:val="Normal"/>
        <w:keepNext w:val="true"/>
        <w:keepLines/>
        <w:ind w:hanging="360" w:start="360" w:end="0"/>
        <w:jc w:val="both"/>
        <w:rPr/>
      </w:pPr>
      <w:r>
        <w:rPr>
          <w:sz w:val="22"/>
          <w:szCs w:val="22"/>
        </w:rPr>
        <w:t>(b)</w:t>
        <w:tab/>
      </w:r>
      <w:r>
        <w:rPr>
          <w:b/>
          <w:bCs/>
          <w:sz w:val="22"/>
          <w:szCs w:val="22"/>
        </w:rPr>
        <w:t>Credit Support Obligations.</w:t>
      </w:r>
    </w:p>
    <w:p>
      <w:pPr>
        <w:pStyle w:val="Normal"/>
        <w:keepNext w:val="true"/>
        <w:keepLines/>
        <w:ind w:hanging="720" w:start="720" w:end="0"/>
        <w:jc w:val="both"/>
        <w:rPr>
          <w:b/>
          <w:bCs/>
          <w:sz w:val="22"/>
          <w:szCs w:val="22"/>
        </w:rPr>
      </w:pPr>
      <w:r>
        <w:rPr>
          <w:b/>
          <w:bCs/>
          <w:sz w:val="22"/>
          <w:szCs w:val="22"/>
        </w:rPr>
      </w:r>
    </w:p>
    <w:p>
      <w:pPr>
        <w:pStyle w:val="Normal"/>
        <w:keepNext w:val="true"/>
        <w:keepLines/>
        <w:ind w:start="720" w:end="0"/>
        <w:jc w:val="both"/>
        <w:rPr>
          <w:sz w:val="22"/>
          <w:szCs w:val="22"/>
        </w:rPr>
      </w:pPr>
      <w:r>
        <w:rPr>
          <w:sz w:val="22"/>
          <w:szCs w:val="22"/>
        </w:rPr>
        <w:t xml:space="preserve">(i)  </w:t>
      </w:r>
      <w:r>
        <w:rPr>
          <w:b/>
          <w:bCs/>
          <w:sz w:val="22"/>
          <w:szCs w:val="22"/>
        </w:rPr>
        <w:t>Delivery Amount, Return Amount, and Credit Support Amount.</w:t>
      </w:r>
    </w:p>
    <w:p>
      <w:pPr>
        <w:pStyle w:val="Normal"/>
        <w:keepNext w:val="true"/>
        <w:keepLines/>
        <w:ind w:hanging="1260" w:start="144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keepNext w:val="true"/>
        <w:keepLines/>
        <w:ind w:start="720" w:end="0"/>
        <w:jc w:val="both"/>
        <w:rPr>
          <w:b/>
          <w:bCs/>
          <w:sz w:val="22"/>
          <w:szCs w:val="22"/>
        </w:rPr>
      </w:pPr>
      <w:r>
        <w:rPr>
          <w:b/>
          <w:bCs/>
          <w:sz w:val="22"/>
          <w:szCs w:val="22"/>
        </w:rPr>
      </w:r>
    </w:p>
    <w:p>
      <w:pPr>
        <w:pStyle w:val="Normal"/>
        <w:keepNext w:val="true"/>
        <w:keepLines/>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keepNext w:val="true"/>
        <w:keepLines/>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keepNext w:val="true"/>
              <w:keepLines/>
              <w:jc w:val="both"/>
              <w:rPr>
                <w:sz w:val="22"/>
                <w:szCs w:val="22"/>
              </w:rPr>
            </w:pPr>
            <w:r>
              <w:rPr>
                <w:sz w:val="22"/>
                <w:szCs w:val="22"/>
              </w:rPr>
              <w:t>(A)</w:t>
            </w:r>
          </w:p>
        </w:tc>
        <w:tc>
          <w:tcPr>
            <w:tcW w:w="2880" w:type="dxa"/>
            <w:tcBorders/>
          </w:tcPr>
          <w:p>
            <w:pPr>
              <w:pStyle w:val="Normal"/>
              <w:keepNext w:val="true"/>
              <w:keepLines/>
              <w:rPr>
                <w:sz w:val="22"/>
                <w:szCs w:val="22"/>
              </w:rPr>
            </w:pPr>
            <w:r>
              <w:rPr>
                <w:sz w:val="22"/>
                <w:szCs w:val="22"/>
              </w:rPr>
              <w:t>Cash</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(B)</w:t>
            </w:r>
          </w:p>
        </w:tc>
        <w:tc>
          <w:tcPr>
            <w:tcW w:w="2880" w:type="dxa"/>
            <w:tcBorders/>
          </w:tcPr>
          <w:p>
            <w:pPr>
              <w:pStyle w:val="Normal"/>
              <w:keepNext w:val="true"/>
              <w:keepLines/>
              <w:rPr>
                <w:sz w:val="22"/>
                <w:szCs w:val="22"/>
              </w:rPr>
            </w:pPr>
            <w:r>
              <w:rPr>
                <w:sz w:val="22"/>
                <w:szCs w:val="22"/>
              </w:rPr>
              <w:t>Negotiable debt obligations issued by the U.S. Treasury Department having an original maturity at issuance of not more than one year (“Government Obligations”)</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(C)</w:t>
            </w:r>
          </w:p>
        </w:tc>
        <w:tc>
          <w:tcPr>
            <w:tcW w:w="2880" w:type="dxa"/>
            <w:tcBorders/>
          </w:tcPr>
          <w:p>
            <w:pPr>
              <w:pStyle w:val="Normal"/>
              <w:keepNext w:val="true"/>
              <w:keepLines/>
              <w:rPr>
                <w:sz w:val="22"/>
                <w:szCs w:val="22"/>
              </w:rPr>
            </w:pPr>
            <w:r>
              <w:rPr>
                <w:sz w:val="22"/>
                <w:szCs w:val="22"/>
              </w:rPr>
              <w:t>Other:</w:t>
              <w:tab/>
              <w:t>None</w:t>
            </w:r>
          </w:p>
          <w:p>
            <w:pPr>
              <w:pStyle w:val="Normal"/>
              <w:keepNext w:val="true"/>
              <w:keepLines/>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365" w:type="dxa"/>
            <w:tcBorders/>
          </w:tcPr>
          <w:p>
            <w:pPr>
              <w:pStyle w:val="Normal"/>
              <w:keepNext w:val="true"/>
              <w:keepLines/>
              <w:snapToGrid w:val="false"/>
              <w:jc w:val="center"/>
              <w:rPr>
                <w:sz w:val="22"/>
                <w:szCs w:val="22"/>
              </w:rPr>
            </w:pPr>
            <w:r>
              <w:rPr>
                <w:sz w:val="22"/>
                <w:szCs w:val="22"/>
              </w:rPr>
            </w:r>
          </w:p>
        </w:tc>
      </w:tr>
    </w:tbl>
    <w:p>
      <w:pPr>
        <w:pStyle w:val="Normal"/>
        <w:keepNext w:val="true"/>
        <w:keepLines/>
        <w:ind w:start="1440" w:end="0"/>
        <w:jc w:val="both"/>
        <w:rPr>
          <w:sz w:val="22"/>
          <w:szCs w:val="22"/>
        </w:rPr>
      </w:pPr>
      <w:r>
        <w:rPr>
          <w:sz w:val="22"/>
          <w:szCs w:val="22"/>
        </w:rPr>
      </w:r>
    </w:p>
    <w:p>
      <w:pPr>
        <w:pStyle w:val="Normal"/>
        <w:keepNext w:val="true"/>
        <w:keepLines/>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keepLines/>
        <w:ind w:start="1440" w:end="0"/>
        <w:jc w:val="both"/>
        <w:rPr>
          <w:b/>
          <w:bCs/>
          <w:sz w:val="22"/>
          <w:szCs w:val="22"/>
        </w:rPr>
      </w:pPr>
      <w:r>
        <w:rPr>
          <w:b/>
          <w:bCs/>
          <w:sz w:val="22"/>
          <w:szCs w:val="22"/>
        </w:rPr>
      </w:r>
    </w:p>
    <w:p>
      <w:pPr>
        <w:pStyle w:val="Normal"/>
        <w:keepNext w:val="true"/>
        <w:keepLines/>
        <w:ind w:start="720" w:end="0"/>
        <w:jc w:val="both"/>
        <w:rPr/>
      </w:pPr>
      <w:r>
        <w:rPr>
          <w:sz w:val="22"/>
          <w:szCs w:val="22"/>
        </w:rPr>
        <w:t xml:space="preserve">(iv)  </w:t>
      </w:r>
      <w:r>
        <w:rPr>
          <w:b/>
          <w:bCs/>
          <w:sz w:val="22"/>
          <w:szCs w:val="22"/>
        </w:rPr>
        <w:t>Thresholds.</w:t>
      </w:r>
    </w:p>
    <w:p>
      <w:pPr>
        <w:pStyle w:val="Normal"/>
        <w:keepNext w:val="true"/>
        <w:keepLines/>
        <w:ind w:hanging="720" w:start="1440" w:end="0"/>
        <w:jc w:val="both"/>
        <w:rPr>
          <w:b/>
          <w:bCs/>
          <w:sz w:val="22"/>
          <w:szCs w:val="22"/>
        </w:rPr>
      </w:pPr>
      <w:r>
        <w:rPr>
          <w:b/>
          <w:bCs/>
          <w:sz w:val="22"/>
          <w:szCs w:val="22"/>
        </w:rPr>
      </w:r>
    </w:p>
    <w:p>
      <w:pPr>
        <w:pStyle w:val="Normal"/>
        <w:keepNext w:val="true"/>
        <w:keepLines/>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$zero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keepNext w:val="true"/>
        <w:keepLines/>
        <w:ind w:start="720" w:end="0"/>
        <w:jc w:val="both"/>
        <w:rPr>
          <w:sz w:val="22"/>
          <w:szCs w:val="22"/>
        </w:rPr>
      </w:pPr>
      <w:r>
        <w:rPr>
          <w:sz w:val="22"/>
          <w:szCs w:val="22"/>
        </w:rPr>
      </w:r>
    </w:p>
    <w:p>
      <w:pPr>
        <w:pStyle w:val="Normal"/>
        <w:keepNext w:val="true"/>
        <w:keepLines/>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(c)  </w:t>
      </w:r>
      <w:r>
        <w:rPr>
          <w:b/>
          <w:bCs/>
          <w:sz w:val="22"/>
          <w:szCs w:val="22"/>
        </w:rPr>
        <w:t>Valuation and Timing.</w:t>
      </w:r>
    </w:p>
    <w:p>
      <w:pPr>
        <w:pStyle w:val="Normal"/>
        <w:keepNext w:val="true"/>
        <w:keepLines/>
        <w:spacing w:before="240" w:after="0"/>
        <w:ind w:start="720" w:end="0"/>
        <w:jc w:val="both"/>
        <w:rPr>
          <w:sz w:val="22"/>
          <w:szCs w:val="22"/>
        </w:rPr>
      </w:pPr>
      <w:r>
        <w:rPr>
          <w:b/>
          <w:bCs/>
          <w:sz w:val="22"/>
          <w:szCs w:val="22"/>
        </w:rPr>
        <w:t>[</w:t>
      </w: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bCs/>
          <w:sz w:val="22"/>
          <w:szCs w:val="22"/>
        </w:rPr>
        <w:t>][Under review]</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keepLines/>
        <w:ind w:hanging="72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keepLines/>
        <w:ind w:hanging="36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provided that the calculations of Value and Exposure will be made as of approximately the same time on the same date.</w:t>
      </w:r>
    </w:p>
    <w:p>
      <w:pPr>
        <w:pStyle w:val="Normal"/>
        <w:keepNext w:val="true"/>
        <w:keepLines/>
        <w:ind w:start="360" w:end="0"/>
        <w:jc w:val="both"/>
        <w:rPr>
          <w:sz w:val="22"/>
          <w:szCs w:val="22"/>
        </w:rPr>
      </w:pPr>
      <w:r>
        <w:rPr>
          <w:sz w:val="22"/>
          <w:szCs w:val="22"/>
        </w:rPr>
      </w:r>
    </w:p>
    <w:p>
      <w:pPr>
        <w:pStyle w:val="Normal"/>
        <w:keepNext w:val="true"/>
        <w:keepLines/>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keepNext w:val="true"/>
        <w:keepLines/>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keepNext w:val="true"/>
              <w:keepLines/>
              <w:ind w:start="-18" w:end="0"/>
              <w:rPr>
                <w:b/>
                <w:bCs/>
                <w:sz w:val="22"/>
                <w:szCs w:val="22"/>
              </w:rPr>
            </w:pPr>
            <w:r>
              <w:rPr>
                <w:b/>
                <w:bCs/>
                <w:sz w:val="22"/>
                <w:szCs w:val="22"/>
              </w:rPr>
              <w:t>Specified Condition</w:t>
            </w:r>
          </w:p>
        </w:tc>
        <w:tc>
          <w:tcPr>
            <w:tcW w:w="1280" w:type="dxa"/>
            <w:tcBorders/>
          </w:tcPr>
          <w:p>
            <w:pPr>
              <w:pStyle w:val="Normal"/>
              <w:keepNext w:val="true"/>
              <w:keepLines/>
              <w:jc w:val="center"/>
              <w:rPr>
                <w:b/>
                <w:bCs/>
                <w:sz w:val="22"/>
                <w:szCs w:val="22"/>
              </w:rPr>
            </w:pPr>
            <w:r>
              <w:rPr>
                <w:b/>
                <w:bCs/>
                <w:sz w:val="22"/>
                <w:szCs w:val="22"/>
              </w:rPr>
              <w:t>Party A</w:t>
            </w:r>
          </w:p>
        </w:tc>
        <w:tc>
          <w:tcPr>
            <w:tcW w:w="1280" w:type="dxa"/>
            <w:tcBorders/>
          </w:tcPr>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r>
      <w:tr>
        <w:trPr/>
        <w:tc>
          <w:tcPr>
            <w:tcW w:w="3600" w:type="dxa"/>
            <w:tcBorders/>
          </w:tcPr>
          <w:p>
            <w:pPr>
              <w:pStyle w:val="Normal"/>
              <w:keepNext w:val="true"/>
              <w:keepLines/>
              <w:ind w:start="-18" w:end="0"/>
              <w:rPr>
                <w:sz w:val="22"/>
                <w:szCs w:val="22"/>
              </w:rPr>
            </w:pPr>
            <w:r>
              <w:rPr>
                <w:sz w:val="22"/>
                <w:szCs w:val="22"/>
              </w:rPr>
              <w:t>Illegality</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Tax Event</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Tax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Credit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Additional Termination Event(s):</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vertAlign w:val="superscript"/>
              </w:rPr>
            </w:pPr>
            <w:r>
              <w:rPr>
                <w:sz w:val="22"/>
                <w:szCs w:val="22"/>
              </w:rPr>
              <w:t>[X]</w:t>
            </w:r>
          </w:p>
        </w:tc>
      </w:tr>
    </w:tbl>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(e)  </w:t>
      </w:r>
      <w:r>
        <w:rPr>
          <w:b/>
          <w:bCs/>
          <w:sz w:val="22"/>
          <w:szCs w:val="22"/>
        </w:rPr>
        <w:t>Substitution.</w:t>
      </w:r>
    </w:p>
    <w:p>
      <w:pPr>
        <w:pStyle w:val="Normal"/>
        <w:keepNext w:val="true"/>
        <w:keepLines/>
        <w:ind w:hanging="720" w:start="720" w:end="0"/>
        <w:jc w:val="both"/>
        <w:rPr>
          <w:sz w:val="22"/>
          <w:szCs w:val="22"/>
        </w:rPr>
      </w:pPr>
      <w:r>
        <w:rPr>
          <w:sz w:val="22"/>
          <w:szCs w:val="22"/>
        </w:rPr>
      </w:r>
    </w:p>
    <w:p>
      <w:pPr>
        <w:pStyle w:val="Normal"/>
        <w:keepNext w:val="true"/>
        <w:keepLines/>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(f)  </w:t>
      </w:r>
      <w:r>
        <w:rPr>
          <w:b/>
          <w:bCs/>
          <w:sz w:val="22"/>
          <w:szCs w:val="22"/>
        </w:rPr>
        <w:t>Dispute Resolution.</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“Resolution Time”</w:t>
      </w:r>
      <w:r>
        <w:rPr>
          <w:sz w:val="22"/>
          <w:szCs w:val="22"/>
        </w:rPr>
        <w:t xml:space="preserve"> means 1:00 p.m., New York time, on the Local Business Day following the date on which notice of the dispute is given under Paragraph 5.</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keepNext w:val="true"/>
        <w:keepLines/>
        <w:ind w:start="72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(1) With respect to cash, the product of (I) the face amount thereof and (II) the applicable Valuation Percentage; and</w:t>
      </w:r>
    </w:p>
    <w:p>
      <w:pPr>
        <w:pStyle w:val="Normal"/>
        <w:keepNext w:val="true"/>
        <w:keepLines/>
        <w:ind w:start="1080" w:end="0"/>
        <w:jc w:val="both"/>
        <w:rPr>
          <w:sz w:val="22"/>
          <w:szCs w:val="22"/>
        </w:rPr>
      </w:pPr>
      <w:r>
        <w:rPr>
          <w:sz w:val="22"/>
          <w:szCs w:val="22"/>
        </w:rPr>
      </w:r>
    </w:p>
    <w:p>
      <w:pPr>
        <w:pStyle w:val="Normal"/>
        <w:keepNext w:val="true"/>
        <w:keepLines/>
        <w:numPr>
          <w:ilvl w:val="0"/>
          <w:numId w:val="5"/>
        </w:numPr>
        <w:jc w:val="both"/>
        <w:rPr>
          <w:sz w:val="22"/>
          <w:szCs w:val="22"/>
        </w:rPr>
      </w:pPr>
      <w:r>
        <w:rPr>
          <w:sz w:val="22"/>
          <w:szCs w:val="22"/>
        </w:rPr>
        <w:t xml:space="preserve">With respect to any Government Obligations, the sum of (A)(x) the arithmetic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ind w:start="54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(g)</w:t>
        <w:tab/>
      </w:r>
      <w:r>
        <w:rPr>
          <w:b/>
          <w:bCs/>
          <w:sz w:val="22"/>
          <w:szCs w:val="22"/>
        </w:rPr>
        <w:t>Holding and Using Posted Collateral.</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keepNext w:val="true"/>
        <w:keepLines/>
        <w:ind w:start="900" w:end="0"/>
        <w:jc w:val="both"/>
        <w:rPr>
          <w:sz w:val="22"/>
          <w:szCs w:val="22"/>
        </w:rPr>
      </w:pPr>
      <w:r>
        <w:rPr>
          <w:sz w:val="22"/>
          <w:szCs w:val="22"/>
        </w:rPr>
      </w:r>
    </w:p>
    <w:p>
      <w:pPr>
        <w:pStyle w:val="Normal"/>
        <w:keepNext w:val="true"/>
        <w:keepLines/>
        <w:ind w:start="1080" w:end="0"/>
        <w:jc w:val="both"/>
        <w:rPr>
          <w:sz w:val="22"/>
          <w:szCs w:val="22"/>
        </w:rPr>
      </w:pPr>
      <w:r>
        <w:rPr>
          <w:sz w:val="22"/>
          <w:szCs w:val="22"/>
        </w:rPr>
        <w:t xml:space="preserve">(1) Party A is not a Defaulting Party and an Additional Termination Event has not occurred. </w:t>
      </w:r>
    </w:p>
    <w:p>
      <w:pPr>
        <w:pStyle w:val="BodyTextIndent"/>
        <w:keepNext w:val="true"/>
        <w:keepLines/>
        <w:spacing w:lineRule="auto" w:line="240"/>
        <w:ind w:start="1080" w:end="0"/>
        <w:rPr/>
      </w:pPr>
      <w:r>
        <w:rPr/>
        <w:t>(2) Posted Collateral may be held only in the following jurisdictions:  Any jurisdiction within the United States.</w:t>
      </w:r>
    </w:p>
    <w:p>
      <w:pPr>
        <w:pStyle w:val="BodyTextIndent"/>
        <w:keepNext w:val="true"/>
        <w:keepLines/>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keepNext w:val="true"/>
        <w:keepLines/>
        <w:ind w:hanging="720" w:start="2160" w:end="0"/>
        <w:jc w:val="both"/>
        <w:rPr>
          <w:sz w:val="22"/>
          <w:szCs w:val="22"/>
        </w:rPr>
      </w:pPr>
      <w:r>
        <w:rPr>
          <w:sz w:val="22"/>
          <w:szCs w:val="22"/>
        </w:rPr>
      </w:r>
    </w:p>
    <w:p>
      <w:pPr>
        <w:pStyle w:val="Normal"/>
        <w:keepNext w:val="true"/>
        <w:keepLines/>
        <w:ind w:start="1080" w:end="0"/>
        <w:jc w:val="both"/>
        <w:rPr>
          <w:sz w:val="22"/>
          <w:szCs w:val="22"/>
        </w:rPr>
      </w:pPr>
      <w:r>
        <w:rPr>
          <w:sz w:val="22"/>
          <w:szCs w:val="22"/>
        </w:rPr>
        <w:t>(1) Party B is not a Defaulting Party and an Additional Termination Event has not occurred.</w:t>
      </w:r>
    </w:p>
    <w:p>
      <w:pPr>
        <w:pStyle w:val="Normal"/>
        <w:keepNext w:val="true"/>
        <w:keepLines/>
        <w:ind w:start="1080" w:end="0"/>
        <w:jc w:val="both"/>
        <w:rPr>
          <w:sz w:val="22"/>
          <w:szCs w:val="22"/>
        </w:rPr>
      </w:pPr>
      <w:r>
        <w:rPr>
          <w:sz w:val="22"/>
          <w:szCs w:val="22"/>
        </w:rPr>
      </w:r>
    </w:p>
    <w:p>
      <w:pPr>
        <w:pStyle w:val="Normal"/>
        <w:keepNext w:val="true"/>
        <w:keepLines/>
        <w:ind w:start="1080" w:end="0"/>
        <w:jc w:val="both"/>
        <w:rPr>
          <w:sz w:val="22"/>
          <w:szCs w:val="22"/>
        </w:rPr>
      </w:pPr>
      <w:r>
        <w:rPr>
          <w:sz w:val="22"/>
          <w:szCs w:val="22"/>
        </w:rPr>
        <w:t>(2) Posted Collateral may be held only in the following jurisdictions:  Any jurisdiction in the United States.</w:t>
      </w:r>
    </w:p>
    <w:p>
      <w:pPr>
        <w:pStyle w:val="BodyTextIndent"/>
        <w:keepNext w:val="true"/>
        <w:keepLines/>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ind w:start="1080" w:end="0"/>
        <w:jc w:val="both"/>
        <w:rPr>
          <w:sz w:val="22"/>
          <w:szCs w:val="22"/>
        </w:rPr>
      </w:pPr>
      <w:r>
        <w:rPr>
          <w:sz w:val="22"/>
          <w:szCs w:val="22"/>
        </w:rPr>
      </w:r>
    </w:p>
    <w:p>
      <w:pPr>
        <w:pStyle w:val="BodyTextIndent3"/>
        <w:keepNext w:val="true"/>
        <w:keepLines/>
        <w:widowControl/>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  </w:t>
      </w:r>
      <w:r>
        <w:rPr>
          <w:b/>
          <w:bCs/>
          <w:sz w:val="22"/>
          <w:szCs w:val="22"/>
        </w:rPr>
        <w:t>Use of Posted Collateral.</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ind w:hanging="720" w:start="2160" w:end="0"/>
        <w:jc w:val="both"/>
        <w:rPr>
          <w:sz w:val="22"/>
          <w:szCs w:val="22"/>
        </w:rPr>
      </w:pPr>
      <w:r>
        <w:rPr>
          <w:sz w:val="22"/>
          <w:szCs w:val="22"/>
        </w:rPr>
      </w:r>
    </w:p>
    <w:p>
      <w:pPr>
        <w:pStyle w:val="Normal"/>
        <w:keepNext w:val="true"/>
        <w:keepLines/>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ind w:start="1440" w:end="0"/>
        <w:jc w:val="both"/>
        <w:rPr>
          <w:sz w:val="22"/>
          <w:szCs w:val="22"/>
        </w:rPr>
      </w:pPr>
      <w:r>
        <w:rPr>
          <w:sz w:val="22"/>
          <w:szCs w:val="22"/>
        </w:rPr>
      </w:r>
    </w:p>
    <w:p>
      <w:pPr>
        <w:pStyle w:val="Normal"/>
        <w:keepNext w:val="true"/>
        <w:keepLines/>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ind w:start="1080" w:end="0"/>
        <w:jc w:val="both"/>
        <w:rPr>
          <w:sz w:val="22"/>
          <w:szCs w:val="22"/>
        </w:rPr>
      </w:pPr>
      <w:r>
        <w:rPr>
          <w:sz w:val="22"/>
          <w:szCs w:val="22"/>
        </w:rPr>
      </w:r>
    </w:p>
    <w:p>
      <w:pPr>
        <w:pStyle w:val="Normal"/>
        <w:keepNext w:val="true"/>
        <w:keepLines/>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(h)</w:t>
        <w:tab/>
      </w:r>
      <w:r>
        <w:rPr>
          <w:b/>
          <w:bCs/>
          <w:sz w:val="22"/>
          <w:szCs w:val="22"/>
        </w:rPr>
        <w:t>Distributions and Interest Amount.</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(i)</w:t>
        <w:tab/>
      </w:r>
      <w:r>
        <w:rPr>
          <w:b/>
          <w:bCs/>
          <w:sz w:val="22"/>
          <w:szCs w:val="22"/>
        </w:rPr>
        <w:t>Demands and Notices.</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All demands, specifications, and notices under this Annex will be made pursuant to the Notices Section of this Agreement.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(j)</w:t>
        <w:tab/>
      </w:r>
      <w:r>
        <w:rPr>
          <w:b/>
          <w:bCs/>
          <w:sz w:val="22"/>
          <w:szCs w:val="22"/>
        </w:rPr>
        <w:t>Addresses for Transfers.</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B:      To be provided in notice requesting delivery/return of Eligible Credit Support/Posted Credit Support.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(k)</w:t>
        <w:tab/>
      </w:r>
      <w:r>
        <w:rPr>
          <w:b/>
          <w:bCs/>
          <w:sz w:val="22"/>
          <w:szCs w:val="22"/>
        </w:rPr>
        <w:t>Other Provisions.</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  Paragraph 12 of this Annex is hereby amended by adding the following:</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(ii)  Paragraph 6(d)(i) is hereby amended by adding the following sentence:</w:t>
      </w:r>
    </w:p>
    <w:p>
      <w:pPr>
        <w:pStyle w:val="Normal"/>
        <w:keepNext w:val="true"/>
        <w:keepLines/>
        <w:ind w:hanging="720" w:start="720" w:end="0"/>
        <w:jc w:val="both"/>
        <w:rPr>
          <w:sz w:val="22"/>
          <w:szCs w:val="22"/>
        </w:rPr>
      </w:pPr>
      <w:r>
        <w:rPr>
          <w:sz w:val="22"/>
          <w:szCs w:val="22"/>
        </w:rPr>
      </w:r>
    </w:p>
    <w:p>
      <w:pPr>
        <w:pStyle w:val="BodyTextIndent3"/>
        <w:keepNext w:val="true"/>
        <w:keepLines/>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keepNext w:val="true"/>
        <w:keepLines/>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keepLines/>
        <w:ind w:start="720" w:end="0"/>
        <w:jc w:val="both"/>
        <w:rPr>
          <w:sz w:val="22"/>
          <w:szCs w:val="22"/>
        </w:rPr>
      </w:pPr>
      <w:r>
        <w:rPr>
          <w:sz w:val="22"/>
          <w:szCs w:val="22"/>
        </w:rPr>
      </w:r>
    </w:p>
    <w:p>
      <w:pPr>
        <w:pStyle w:val="Normal"/>
        <w:keepNext w:val="true"/>
        <w:keepLines/>
        <w:ind w:end="180"/>
        <w:jc w:val="center"/>
        <w:rPr>
          <w:b/>
          <w:bCs/>
          <w:sz w:val="22"/>
          <w:szCs w:val="22"/>
        </w:rPr>
      </w:pPr>
      <w:r>
        <w:rPr>
          <w:b/>
          <w:bCs/>
          <w:sz w:val="22"/>
          <w:szCs w:val="22"/>
          <w:u w:val="single"/>
        </w:rPr>
        <w:t>EXHIBIT A</w:t>
      </w:r>
    </w:p>
    <w:p>
      <w:pPr>
        <w:pStyle w:val="Normal"/>
        <w:keepNext w:val="true"/>
        <w:keepLines/>
        <w:ind w:end="180"/>
        <w:jc w:val="center"/>
        <w:rPr>
          <w:b/>
          <w:bCs/>
          <w:sz w:val="22"/>
          <w:szCs w:val="22"/>
        </w:rPr>
      </w:pPr>
      <w:r>
        <w:rPr>
          <w:b/>
          <w:bCs/>
          <w:sz w:val="22"/>
          <w:szCs w:val="22"/>
        </w:rPr>
      </w:r>
    </w:p>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Normal"/>
        <w:keepNext w:val="true"/>
        <w:keepLines/>
        <w:spacing w:lineRule="exact" w:line="240"/>
        <w:ind w:end="180"/>
        <w:jc w:val="center"/>
        <w:rPr>
          <w:sz w:val="22"/>
          <w:szCs w:val="22"/>
        </w:rPr>
      </w:pPr>
      <w:r>
        <w:rPr>
          <w:sz w:val="22"/>
          <w:szCs w:val="22"/>
          <w:u w:val="single"/>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Partners, L.P.</w:t>
      </w:r>
      <w:r>
        <w:rPr>
          <w:sz w:val="22"/>
          <w:szCs w:val="22"/>
        </w:rPr>
        <w:t xml:space="preserve">, a Delaware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Partners, L.P.</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szCs w:val="20"/>
              </w:rPr>
            </w:pPr>
            <w:r>
              <w:rPr>
                <w:szCs w:val="20"/>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keepLines/>
        <w:spacing w:lineRule="exact" w:line="240"/>
        <w:ind w:end="720"/>
        <w:jc w:val="center"/>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/mnt/main-storage/datasets/enron-docs/doc/039ctr_catequil_partners_.doc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/mnt/main-storage/datasets/enron-docs/doc/039ctr_catequil_partners_.doc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/mnt/main-storage/datasets/enron-docs/doc/039ctr_catequil_partners_.doc</w:t>
    </w:r>
    <w:r>
      <w:rPr>
        <w:sz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2001-08-08T12:07:00Z</dcterms:created>
  <dc:creator>mheard</dc:creator>
  <dc:description/>
  <dc:language>en-CA</dc:language>
  <cp:lastModifiedBy>mheard</cp:lastModifiedBy>
  <cp:lastPrinted>2001-08-08T10:55:00Z</cp:lastPrinted>
  <dcterms:modified xsi:type="dcterms:W3CDTF">2001-08-08T13:26:00Z</dcterms:modified>
  <cp:revision>4</cp:revision>
  <dc:subject/>
  <dc:title>ISDA Multicurrency Agreement</dc:title>
</cp:coreProperties>
</file>