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ind w:end="180"/>
        <w:jc w:val="center"/>
        <w:rPr>
          <w:b/>
          <w:bCs/>
          <w:sz w:val="22"/>
          <w:szCs w:val="22"/>
        </w:rPr>
      </w:pPr>
      <w:r>
        <w:rPr>
          <w:b/>
          <w:bCs/>
          <w:sz w:val="22"/>
          <w:szCs w:val="22"/>
        </w:rPr>
        <w:t>ENRON CORP.</w:t>
      </w:r>
    </w:p>
    <w:p>
      <w:pPr>
        <w:pStyle w:val="Normal"/>
        <w:keepNext w:val="true"/>
        <w:keepLines/>
        <w:spacing w:lineRule="exact" w:line="240"/>
        <w:ind w:end="180"/>
        <w:jc w:val="center"/>
        <w:rPr>
          <w:b/>
          <w:bCs/>
          <w:sz w:val="22"/>
          <w:szCs w:val="22"/>
          <w:u w:val="single"/>
        </w:rPr>
      </w:pPr>
      <w:r>
        <w:rPr>
          <w:b/>
          <w:bCs/>
          <w:sz w:val="22"/>
          <w:szCs w:val="22"/>
          <w:u w:val="single"/>
        </w:rPr>
      </w:r>
    </w:p>
    <w:p>
      <w:pPr>
        <w:pStyle w:val="Heading6"/>
        <w:rPr/>
      </w:pPr>
      <w:r>
        <w:rPr/>
        <w:t>Guaranty</w:t>
      </w:r>
    </w:p>
    <w:p>
      <w:pPr>
        <w:pStyle w:val="Normal"/>
        <w:keepNext w:val="true"/>
        <w:keepLines/>
        <w:spacing w:lineRule="exact" w:line="48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This Guaranty (the “Guaranty”), dated as of March 9, 2001, is made and entered into by </w:t>
      </w:r>
      <w:r>
        <w:rPr>
          <w:caps/>
          <w:sz w:val="22"/>
          <w:szCs w:val="22"/>
        </w:rPr>
        <w:t>Enron Corp.</w:t>
      </w:r>
      <w:r>
        <w:rPr>
          <w:sz w:val="22"/>
          <w:szCs w:val="22"/>
        </w:rPr>
        <w:t>, an Oregon corporation (“Guarantor”).</w:t>
      </w:r>
    </w:p>
    <w:p>
      <w:pPr>
        <w:pStyle w:val="Normal"/>
        <w:keepNext w:val="true"/>
        <w:keepLines/>
        <w:spacing w:lineRule="exact" w:line="240" w:before="480" w:after="0"/>
        <w:jc w:val="center"/>
        <w:rPr>
          <w:b/>
          <w:bCs/>
          <w:caps/>
          <w:sz w:val="22"/>
          <w:szCs w:val="22"/>
        </w:rPr>
      </w:pPr>
      <w:r>
        <w:rPr>
          <w:b/>
          <w:bCs/>
          <w:caps/>
          <w:sz w:val="22"/>
          <w:szCs w:val="22"/>
        </w:rPr>
        <w:t>W I T N E S S E T H:</w:t>
      </w:r>
    </w:p>
    <w:p>
      <w:pPr>
        <w:pStyle w:val="Normal"/>
        <w:keepNext w:val="true"/>
        <w:keepLines/>
        <w:spacing w:lineRule="atLeast" w:line="240"/>
        <w:jc w:val="both"/>
        <w:rPr>
          <w:b/>
          <w:bCs/>
          <w:caps/>
          <w:sz w:val="22"/>
          <w:szCs w:val="22"/>
        </w:rPr>
      </w:pPr>
      <w:r>
        <w:rPr>
          <w:b/>
          <w:bCs/>
          <w:caps/>
          <w:sz w:val="22"/>
          <w:szCs w:val="22"/>
        </w:rPr>
      </w:r>
    </w:p>
    <w:p>
      <w:pPr>
        <w:pStyle w:val="Normal"/>
        <w:keepNext w:val="true"/>
        <w:keepLines/>
        <w:spacing w:lineRule="atLeast" w:line="240"/>
        <w:ind w:firstLine="720" w:end="0"/>
        <w:jc w:val="both"/>
        <w:rPr/>
      </w:pPr>
      <w:r>
        <w:rPr>
          <w:sz w:val="22"/>
          <w:szCs w:val="22"/>
        </w:rPr>
        <w:t xml:space="preserve">WHEREAS, </w:t>
      </w:r>
      <w:r>
        <w:rPr>
          <w:caps/>
          <w:sz w:val="22"/>
          <w:szCs w:val="22"/>
        </w:rPr>
        <w:t>Catequil Partners, L.P.</w:t>
      </w:r>
      <w:r>
        <w:rPr>
          <w:sz w:val="22"/>
          <w:szCs w:val="22"/>
        </w:rPr>
        <w:t xml:space="preserve">, a Delaware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spacing w:before="240" w:after="0"/>
        <w:rPr/>
      </w:pPr>
      <w:r>
        <w:rPr/>
        <w:t>(b)    The aggregate amount covered by this Guaranty shall not exceed U.S. $10,000,000.</w:t>
      </w:r>
    </w:p>
    <w:p>
      <w:pPr>
        <w:pStyle w:val="BodyTextIndent3"/>
        <w:keepNext w:val="true"/>
        <w:keepLines/>
        <w:widowControl/>
        <w:spacing w:before="240" w:after="0"/>
        <w:rPr/>
      </w:pPr>
      <w:r>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spacing w:before="240" w:after="0"/>
        <w:rPr/>
      </w:pPr>
      <w:r>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keepLines/>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Partners, L.P.</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c/o Catequil Asset Management, L.P.</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pPr>
            <w:r>
              <w:rPr/>
              <w:t>1251 Avenue of the Americas</w:t>
            </w:r>
          </w:p>
          <w:p>
            <w:pPr>
              <w:pStyle w:val="Header"/>
              <w:keepNext w:val="true"/>
              <w:keepLines/>
              <w:widowControl/>
              <w:tabs>
                <w:tab w:val="clear" w:pos="4320"/>
                <w:tab w:val="clear" w:pos="8640"/>
                <w:tab w:val="left" w:pos="3132" w:leader="none"/>
              </w:tabs>
              <w:spacing w:lineRule="atLeast" w:line="240"/>
              <w:rPr/>
            </w:pPr>
            <w:r>
              <w:rPr/>
              <w:t>New York, New York 10020</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szCs w:val="20"/>
              </w:rPr>
            </w:pPr>
            <w:r>
              <w:rPr>
                <w:szCs w:val="20"/>
              </w:rPr>
              <w:t>Attn.:  James Giordano</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Fax No.:  (212) 899-4205</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p>
      <w:pPr>
        <w:pStyle w:val="Justified"/>
        <w:keepNext w:val="true"/>
        <w:keepLines/>
        <w:widowControl/>
        <w:spacing w:lineRule="atLeast" w:line="240" w:before="0" w:after="0"/>
        <w:rPr>
          <w:rFonts w:ascii="Times New Roman" w:hAnsi="Times New Roman" w:cs="Times New Roman"/>
        </w:rPr>
      </w:pPr>
      <w:r>
        <w:rPr>
          <w:rFonts w:cs="Times New Roman"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spacing w:lineRule="exact" w:line="240"/>
        <w:ind w:start="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8.  </w:t>
      </w:r>
      <w:r>
        <w:rPr>
          <w:sz w:val="22"/>
          <w:szCs w:val="22"/>
          <w:u w:val="single"/>
        </w:rPr>
        <w:t>SUBROGATION.</w:t>
      </w:r>
      <w:r>
        <w:rPr>
          <w:sz w:val="22"/>
          <w:szCs w:val="22"/>
        </w:rPr>
        <w:t xml:space="preserve">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10.   </w:t>
      </w:r>
      <w:r>
        <w:rPr>
          <w:sz w:val="22"/>
          <w:szCs w:val="22"/>
          <w:u w:val="single"/>
        </w:rPr>
        <w:t>DEFINITIONS.</w:t>
      </w:r>
      <w:r>
        <w:rPr>
          <w:sz w:val="22"/>
          <w:szCs w:val="22"/>
        </w:rPr>
        <w:t xml:space="preserve">  Any capitalized term used herein and not otherwise defined shall have the meaning given to it in the Contract.</w:t>
      </w:r>
    </w:p>
    <w:p>
      <w:pPr>
        <w:pStyle w:val="Normal"/>
        <w:keepNext w:val="true"/>
        <w:keepLines/>
        <w:spacing w:lineRule="atLeast" w:line="240"/>
        <w:ind w:firstLine="720" w:end="0"/>
        <w:jc w:val="both"/>
        <w:rPr>
          <w:sz w:val="22"/>
          <w:szCs w:val="22"/>
        </w:rPr>
      </w:pPr>
      <w:r>
        <w:rPr>
          <w:sz w:val="22"/>
          <w:szCs w:val="22"/>
        </w:rPr>
      </w:r>
    </w:p>
    <w:p>
      <w:pPr>
        <w:pStyle w:val="BodyTextIndent2"/>
        <w:keepNext w:val="true"/>
        <w:keepLines/>
        <w:widowControl/>
        <w:tabs>
          <w:tab w:val="clear" w:pos="1350"/>
        </w:tabs>
        <w:spacing w:lineRule="atLeast" w:line="240"/>
        <w:rPr>
          <w:rFonts w:ascii="Times New Roman" w:hAnsi="Times New Roman" w:cs="Times New Roman"/>
        </w:rPr>
      </w:pPr>
      <w:r>
        <w:rPr>
          <w:rFonts w:cs="Times New Roman" w:ascii="Times New Roman" w:hAnsi="Times New Roman"/>
        </w:rPr>
        <w:t xml:space="preserve">IN WITNESS WHEREOF, the Guarantor has executed this Guaranty on </w:t>
        <w:tab/>
        <w:t>October ___, 2001, but it is effective as of the date first above written.</w:t>
      </w:r>
    </w:p>
    <w:p>
      <w:pPr>
        <w:pStyle w:val="Normal"/>
        <w:keepNext w:val="true"/>
        <w:keepLines/>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start="5040" w:end="0"/>
        <w:jc w:val="both"/>
        <w:rPr>
          <w:b/>
          <w:bCs/>
          <w:sz w:val="22"/>
          <w:szCs w:val="22"/>
        </w:rPr>
      </w:pPr>
      <w:r>
        <w:rPr>
          <w:b/>
          <w:bCs/>
          <w:sz w:val="22"/>
          <w:szCs w:val="22"/>
        </w:rPr>
        <w:t>ENRON CORP.</w:t>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Name:  </w:t>
      </w:r>
      <w:r>
        <w:rPr>
          <w:sz w:val="22"/>
          <w:szCs w:val="22"/>
          <w:u w:val="single"/>
        </w:rPr>
        <w:tab/>
        <w:tab/>
        <w:tab/>
        <w:tab/>
        <w:tab/>
        <w:tab/>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Rider"/>
        <w:suppressAutoHyphens w:val="true"/>
        <w:rPr>
          <w:spacing w:val="-2"/>
        </w:rPr>
      </w:pPr>
      <w:r>
        <w:rPr>
          <w:spacing w:val="-2"/>
        </w:rPr>
        <w:t>ENRON CORP.</w:t>
      </w:r>
    </w:p>
    <w:p>
      <w:pPr>
        <w:pStyle w:val="Normal"/>
        <w:suppressAutoHyphens w:val="true"/>
        <w:jc w:val="both"/>
        <w:rPr>
          <w:spacing w:val="-2"/>
          <w:sz w:val="22"/>
        </w:rPr>
      </w:pPr>
      <w:r>
        <w:rPr>
          <w:spacing w:val="-2"/>
          <w:sz w:val="22"/>
        </w:rPr>
      </w:r>
    </w:p>
    <w:p>
      <w:pPr>
        <w:pStyle w:val="Normal"/>
        <w:suppressAutoHyphens w:val="true"/>
        <w:jc w:val="center"/>
        <w:rPr>
          <w:spacing w:val="-2"/>
          <w:sz w:val="22"/>
        </w:rPr>
      </w:pPr>
      <w:r>
        <w:rPr>
          <w:spacing w:val="-2"/>
          <w:sz w:val="22"/>
          <w:u w:val="single"/>
        </w:rPr>
        <w:t>Certificate of Assistant Secretary</w:t>
      </w:r>
    </w:p>
    <w:p>
      <w:pPr>
        <w:pStyle w:val="Normal"/>
        <w:suppressAutoHyphens w:val="true"/>
        <w:jc w:val="both"/>
        <w:rPr>
          <w:spacing w:val="-2"/>
          <w:sz w:val="22"/>
        </w:rPr>
      </w:pPr>
      <w:r>
        <w:rPr>
          <w:spacing w:val="-2"/>
          <w:sz w:val="22"/>
        </w:rPr>
      </w:r>
    </w:p>
    <w:p>
      <w:pPr>
        <w:pStyle w:val="Normal"/>
        <w:suppressAutoHyphens w:val="true"/>
        <w:jc w:val="both"/>
        <w:rPr/>
      </w:pPr>
      <w:r>
        <w:rPr>
          <w:spacing w:val="-2"/>
          <w:sz w:val="22"/>
        </w:rPr>
        <w:tab/>
        <w:t xml:space="preserve">The undersigned, </w:t>
      </w:r>
      <w:r>
        <w:rPr>
          <w:spacing w:val="-3"/>
          <w:sz w:val="22"/>
        </w:rPr>
        <w:t>Teresa A. Callahan,</w:t>
      </w:r>
      <w:r>
        <w:rPr>
          <w:spacing w:val="-2"/>
          <w:sz w:val="2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sz w:val="22"/>
        </w:rPr>
      </w:pPr>
      <w:r>
        <w:rPr>
          <w:spacing w:val="-2"/>
          <w:sz w:val="22"/>
        </w:rPr>
      </w:r>
    </w:p>
    <w:p>
      <w:pPr>
        <w:pStyle w:val="Normal"/>
        <w:ind w:firstLine="720" w:end="0"/>
        <w:jc w:val="both"/>
        <w:rPr/>
      </w:pPr>
      <w:r>
        <w:rPr>
          <w:spacing w:val="-2"/>
          <w:sz w:val="22"/>
        </w:rPr>
        <w:t>1.</w:t>
        <w:tab/>
      </w:r>
      <w:r>
        <w:rPr>
          <w:sz w:val="22"/>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sz w:val="22"/>
        </w:rPr>
      </w:pPr>
      <w:r>
        <w:rPr>
          <w:sz w:val="22"/>
        </w:rPr>
      </w:r>
    </w:p>
    <w:p>
      <w:pPr>
        <w:pStyle w:val="Normal"/>
        <w:suppressAutoHyphens w:val="true"/>
        <w:jc w:val="both"/>
        <w:rPr>
          <w:spacing w:val="-2"/>
          <w:sz w:val="22"/>
        </w:rPr>
      </w:pPr>
      <w:r>
        <w:rPr>
          <w:spacing w:val="-2"/>
          <w:sz w:val="22"/>
        </w:rPr>
        <w:tab/>
        <w:t>2.</w:t>
        <w:tab/>
      </w:r>
      <w:r>
        <w:rPr>
          <w:sz w:val="22"/>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sz w:val="22"/>
        </w:rPr>
      </w:pPr>
      <w:r>
        <w:rPr>
          <w:spacing w:val="-2"/>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sz w:val="22"/>
              </w:rPr>
            </w:pPr>
            <w:r>
              <w:rPr>
                <w:spacing w:val="-2"/>
                <w:sz w:val="22"/>
                <w:u w:val="single"/>
              </w:rPr>
              <w:t>Name</w:t>
            </w:r>
          </w:p>
        </w:tc>
        <w:tc>
          <w:tcPr>
            <w:tcW w:w="3192" w:type="dxa"/>
            <w:tcBorders/>
          </w:tcPr>
          <w:p>
            <w:pPr>
              <w:pStyle w:val="Normal"/>
              <w:suppressAutoHyphens w:val="true"/>
              <w:jc w:val="center"/>
              <w:rPr>
                <w:spacing w:val="-2"/>
                <w:sz w:val="22"/>
              </w:rPr>
            </w:pPr>
            <w:r>
              <w:rPr>
                <w:spacing w:val="-2"/>
                <w:sz w:val="22"/>
                <w:u w:val="single"/>
              </w:rPr>
              <w:t>Office</w:t>
            </w:r>
          </w:p>
        </w:tc>
        <w:tc>
          <w:tcPr>
            <w:tcW w:w="3192" w:type="dxa"/>
            <w:tcBorders/>
          </w:tcPr>
          <w:p>
            <w:pPr>
              <w:pStyle w:val="Normal"/>
              <w:suppressAutoHyphens w:val="true"/>
              <w:jc w:val="center"/>
              <w:rPr>
                <w:spacing w:val="-2"/>
                <w:sz w:val="22"/>
              </w:rPr>
            </w:pPr>
            <w:r>
              <w:rPr>
                <w:spacing w:val="-2"/>
                <w:sz w:val="22"/>
                <w:u w:val="single"/>
              </w:rPr>
              <w:t>Signature</w:t>
            </w:r>
          </w:p>
        </w:tc>
      </w:tr>
      <w:tr>
        <w:trPr/>
        <w:tc>
          <w:tcPr>
            <w:tcW w:w="3192" w:type="dxa"/>
            <w:tcBorders/>
          </w:tcPr>
          <w:p>
            <w:pPr>
              <w:pStyle w:val="Normal"/>
              <w:suppressAutoHyphens w:val="true"/>
              <w:snapToGrid w:val="false"/>
              <w:jc w:val="center"/>
              <w:rPr>
                <w:spacing w:val="-2"/>
                <w:sz w:val="22"/>
              </w:rPr>
            </w:pPr>
            <w:r>
              <w:rPr>
                <w:spacing w:val="-2"/>
                <w:sz w:val="22"/>
              </w:rPr>
            </w:r>
          </w:p>
          <w:p>
            <w:pPr>
              <w:pStyle w:val="r"/>
              <w:rPr>
                <w:rFonts w:ascii="Times New Roman" w:hAnsi="Times New Roman" w:cs="Times New Roman"/>
                <w:spacing w:val="-2"/>
                <w:sz w:val="22"/>
              </w:rPr>
            </w:pPr>
            <w:r>
              <w:rPr>
                <w:rFonts w:cs="Times New Roman" w:ascii="Times New Roman" w:hAnsi="Times New Roman"/>
                <w:spacing w:val="-2"/>
                <w:sz w:val="22"/>
              </w:rPr>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jc w:val="center"/>
              <w:rPr>
                <w:spacing w:val="-2"/>
                <w:sz w:val="22"/>
              </w:rPr>
            </w:pPr>
            <w:r>
              <w:rPr>
                <w:spacing w:val="-2"/>
                <w:sz w:val="22"/>
              </w:rPr>
            </w:r>
          </w:p>
        </w:tc>
        <w:tc>
          <w:tcPr>
            <w:tcW w:w="3192" w:type="dxa"/>
            <w:tcBorders>
              <w:bottom w:val="single" w:sz="4" w:space="0" w:color="000000"/>
            </w:tcBorders>
          </w:tcPr>
          <w:p>
            <w:pPr>
              <w:pStyle w:val="Normal"/>
              <w:suppressAutoHyphens w:val="true"/>
              <w:snapToGrid w:val="false"/>
              <w:jc w:val="center"/>
              <w:rPr>
                <w:spacing w:val="-2"/>
                <w:sz w:val="22"/>
              </w:rPr>
            </w:pPr>
            <w:r>
              <w:rPr>
                <w:spacing w:val="-2"/>
                <w:sz w:val="22"/>
              </w:rPr>
            </w:r>
          </w:p>
        </w:tc>
      </w:tr>
    </w:tbl>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tab/>
        <w:t>EXECUTED this ____ day of October, 2001.</w:t>
      </w:r>
    </w:p>
    <w:p>
      <w:pPr>
        <w:pStyle w:val="Normal"/>
        <w:suppressAutoHyphens w:val="true"/>
        <w:jc w:val="both"/>
        <w:rPr>
          <w:spacing w:val="-2"/>
          <w:sz w:val="22"/>
        </w:rPr>
      </w:pPr>
      <w:r>
        <w:rPr>
          <w:spacing w:val="-2"/>
          <w:sz w:val="2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sz w:val="22"/>
              </w:rPr>
            </w:pPr>
            <w:r>
              <w:rPr>
                <w:spacing w:val="-2"/>
                <w:sz w:val="22"/>
              </w:rPr>
            </w:r>
          </w:p>
        </w:tc>
      </w:tr>
      <w:tr>
        <w:trPr/>
        <w:tc>
          <w:tcPr>
            <w:tcW w:w="3870" w:type="dxa"/>
            <w:tcBorders/>
          </w:tcPr>
          <w:p>
            <w:pPr>
              <w:pStyle w:val="Normal"/>
              <w:suppressAutoHyphens w:val="true"/>
              <w:jc w:val="both"/>
              <w:rPr>
                <w:spacing w:val="-2"/>
                <w:sz w:val="22"/>
              </w:rPr>
            </w:pPr>
            <w:r>
              <w:rPr>
                <w:spacing w:val="-3"/>
                <w:sz w:val="22"/>
              </w:rPr>
              <w:t xml:space="preserve">Teresa A. Callahan </w:t>
            </w:r>
          </w:p>
        </w:tc>
      </w:tr>
      <w:tr>
        <w:trPr/>
        <w:tc>
          <w:tcPr>
            <w:tcW w:w="3870" w:type="dxa"/>
            <w:tcBorders/>
          </w:tcPr>
          <w:p>
            <w:pPr>
              <w:pStyle w:val="Normal"/>
              <w:suppressAutoHyphens w:val="true"/>
              <w:jc w:val="both"/>
              <w:rPr>
                <w:spacing w:val="-2"/>
                <w:sz w:val="22"/>
              </w:rPr>
            </w:pPr>
            <w:r>
              <w:rPr>
                <w:spacing w:val="-2"/>
                <w:sz w:val="22"/>
              </w:rPr>
              <w:t>Assistant Secretary</w:t>
            </w:r>
          </w:p>
        </w:tc>
      </w:tr>
    </w:tbl>
    <w:p>
      <w:pPr>
        <w:pStyle w:val="Normal"/>
        <w:suppressAutoHyphens w:val="true"/>
        <w:jc w:val="center"/>
        <w:rPr>
          <w:b/>
          <w:spacing w:val="-2"/>
          <w:sz w:val="22"/>
        </w:rPr>
      </w:pPr>
      <w:r>
        <w:br w:type="page"/>
      </w:r>
      <w:r>
        <w:rPr>
          <w:b/>
          <w:spacing w:val="-2"/>
          <w:sz w:val="22"/>
        </w:rPr>
        <w:t>EXHIBIT A</w:t>
      </w:r>
    </w:p>
    <w:p>
      <w:pPr>
        <w:pStyle w:val="Normal"/>
        <w:suppressAutoHyphens w:val="true"/>
        <w:jc w:val="center"/>
        <w:rPr>
          <w:b/>
          <w:spacing w:val="-2"/>
          <w:sz w:val="22"/>
        </w:rPr>
      </w:pPr>
      <w:r>
        <w:rPr>
          <w:b/>
          <w:spacing w:val="-2"/>
          <w:sz w:val="22"/>
        </w:rPr>
      </w:r>
    </w:p>
    <w:p>
      <w:pPr>
        <w:pStyle w:val="Normal"/>
        <w:suppressAutoHyphens w:val="true"/>
        <w:jc w:val="center"/>
        <w:rPr>
          <w:spacing w:val="-2"/>
          <w:sz w:val="22"/>
        </w:rPr>
      </w:pPr>
      <w:r>
        <w:rPr>
          <w:spacing w:val="-2"/>
          <w:sz w:val="22"/>
        </w:rPr>
        <w:t>Amended and Restated Articles of Incorporation</w:t>
      </w:r>
      <w:r>
        <w:br w:type="page"/>
      </w:r>
    </w:p>
    <w:p>
      <w:pPr>
        <w:pStyle w:val="Normal"/>
        <w:suppressAutoHyphens w:val="true"/>
        <w:jc w:val="center"/>
        <w:rPr>
          <w:b/>
          <w:spacing w:val="-2"/>
          <w:sz w:val="22"/>
        </w:rPr>
      </w:pPr>
      <w:r>
        <w:rPr>
          <w:b/>
          <w:spacing w:val="-2"/>
          <w:sz w:val="22"/>
        </w:rPr>
        <w:t>EXHIBIT B</w:t>
      </w:r>
    </w:p>
    <w:p>
      <w:pPr>
        <w:pStyle w:val="Normal"/>
        <w:suppressAutoHyphens w:val="true"/>
        <w:jc w:val="center"/>
        <w:rPr>
          <w:b/>
          <w:spacing w:val="-2"/>
          <w:sz w:val="22"/>
        </w:rPr>
      </w:pPr>
      <w:r>
        <w:rPr>
          <w:b/>
          <w:spacing w:val="-2"/>
          <w:sz w:val="22"/>
        </w:rPr>
      </w:r>
    </w:p>
    <w:p>
      <w:pPr>
        <w:pStyle w:val="Normal"/>
        <w:suppressAutoHyphens w:val="true"/>
        <w:jc w:val="center"/>
        <w:rPr>
          <w:spacing w:val="-2"/>
          <w:sz w:val="22"/>
        </w:rPr>
      </w:pPr>
      <w:r>
        <w:rPr>
          <w:spacing w:val="-2"/>
          <w:sz w:val="22"/>
        </w:rPr>
        <w:t>Bylaws</w:t>
      </w:r>
      <w:r>
        <w:br w:type="page"/>
      </w:r>
    </w:p>
    <w:p>
      <w:pPr>
        <w:pStyle w:val="Normal"/>
        <w:suppressAutoHyphens w:val="true"/>
        <w:jc w:val="center"/>
        <w:rPr>
          <w:spacing w:val="-2"/>
          <w:sz w:val="22"/>
        </w:rPr>
      </w:pPr>
      <w:r>
        <w:rPr>
          <w:b/>
          <w:spacing w:val="-2"/>
          <w:sz w:val="22"/>
        </w:rPr>
        <w:t>ENRON CORP.</w:t>
      </w:r>
    </w:p>
    <w:p>
      <w:pPr>
        <w:pStyle w:val="Normal"/>
        <w:suppressAutoHyphens w:val="true"/>
        <w:jc w:val="both"/>
        <w:rPr>
          <w:spacing w:val="-2"/>
          <w:sz w:val="22"/>
        </w:rPr>
      </w:pPr>
      <w:r>
        <w:rPr>
          <w:spacing w:val="-2"/>
          <w:sz w:val="22"/>
        </w:rPr>
      </w:r>
    </w:p>
    <w:p>
      <w:pPr>
        <w:pStyle w:val="Normal"/>
        <w:jc w:val="center"/>
        <w:rPr>
          <w:spacing w:val="-2"/>
          <w:sz w:val="22"/>
          <w:u w:val="single"/>
        </w:rPr>
      </w:pPr>
      <w:r>
        <w:rPr>
          <w:spacing w:val="-2"/>
          <w:sz w:val="22"/>
          <w:u w:val="single"/>
        </w:rPr>
        <w:t>Certificate of _____________</w:t>
      </w:r>
    </w:p>
    <w:p>
      <w:pPr>
        <w:pStyle w:val="Normal"/>
        <w:jc w:val="center"/>
        <w:rPr>
          <w:spacing w:val="-2"/>
          <w:sz w:val="22"/>
          <w:u w:val="single"/>
        </w:rPr>
      </w:pPr>
      <w:r>
        <w:rPr>
          <w:spacing w:val="-2"/>
          <w:sz w:val="22"/>
          <w:u w:val="single"/>
        </w:rPr>
      </w:r>
    </w:p>
    <w:p>
      <w:pPr>
        <w:pStyle w:val="Style0"/>
        <w:jc w:val="both"/>
        <w:rPr/>
      </w:pPr>
      <w:r>
        <w:rPr>
          <w:rFonts w:cs="Times New Roman" w:ascii="Times New Roman" w:hAnsi="Times New Roman"/>
          <w:sz w:val="22"/>
        </w:rPr>
        <w:tab/>
        <w:t xml:space="preserve">I, ______________, </w:t>
      </w:r>
      <w:r>
        <w:rPr>
          <w:rFonts w:cs="Times New Roman" w:ascii="Times New Roman" w:hAnsi="Times New Roman"/>
          <w:spacing w:val="-2"/>
          <w:sz w:val="22"/>
        </w:rPr>
        <w:t>_____________</w:t>
      </w:r>
      <w:r>
        <w:rPr>
          <w:rFonts w:cs="Times New Roman" w:ascii="Times New Roman" w:hAnsi="Times New Roman"/>
          <w:sz w:val="22"/>
        </w:rPr>
        <w:t xml:space="preserve"> of Enron Corp., an Oregon corporation, certify that the Guaranty Agreement executed on October ___, 2001 made and entered into by Enron Corp. </w:t>
      </w:r>
      <w:r>
        <w:rPr>
          <w:rFonts w:cs="Times New Roman" w:ascii="Times New Roman" w:hAnsi="Times New Roman"/>
          <w:color w:val="000000"/>
          <w:sz w:val="22"/>
        </w:rPr>
        <w:t xml:space="preserve">in favor of Catequil Partners, L.P.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sz w:val="22"/>
        </w:rPr>
      </w:pPr>
      <w:r>
        <w:rPr>
          <w:spacing w:val="-2"/>
          <w:sz w:val="22"/>
        </w:rPr>
        <w:tab/>
        <w:t>EXECUTED this ___ day of October, 2001.</w:t>
      </w:r>
    </w:p>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2"/>
              </w:rPr>
            </w:pPr>
            <w:r>
              <w:rPr>
                <w:spacing w:val="-2"/>
                <w:sz w:val="22"/>
              </w:rPr>
              <w:t>By:</w:t>
            </w:r>
          </w:p>
        </w:tc>
        <w:tc>
          <w:tcPr>
            <w:tcW w:w="3690" w:type="dxa"/>
            <w:tcBorders>
              <w:bottom w:val="single" w:sz="4" w:space="0" w:color="000000"/>
            </w:tcBorders>
          </w:tcPr>
          <w:p>
            <w:pPr>
              <w:pStyle w:val="Normal"/>
              <w:suppressAutoHyphens w:val="true"/>
              <w:snapToGrid w:val="false"/>
              <w:jc w:val="both"/>
              <w:rPr>
                <w:spacing w:val="-2"/>
                <w:sz w:val="22"/>
              </w:rPr>
            </w:pPr>
            <w:r>
              <w:rPr>
                <w:spacing w:val="-2"/>
                <w:sz w:val="22"/>
              </w:rPr>
            </w:r>
          </w:p>
        </w:tc>
      </w:tr>
      <w:tr>
        <w:trPr/>
        <w:tc>
          <w:tcPr>
            <w:tcW w:w="720" w:type="dxa"/>
            <w:tcBorders/>
          </w:tcPr>
          <w:p>
            <w:pPr>
              <w:pStyle w:val="Normal"/>
              <w:suppressAutoHyphens w:val="true"/>
              <w:snapToGrid w:val="false"/>
              <w:jc w:val="both"/>
              <w:rPr>
                <w:spacing w:val="-2"/>
                <w:sz w:val="22"/>
              </w:rPr>
            </w:pPr>
            <w:r>
              <w:rPr>
                <w:spacing w:val="-2"/>
                <w:sz w:val="22"/>
              </w:rPr>
            </w:r>
          </w:p>
        </w:tc>
        <w:tc>
          <w:tcPr>
            <w:tcW w:w="3690" w:type="dxa"/>
            <w:tcBorders/>
          </w:tcPr>
          <w:p>
            <w:pPr>
              <w:pStyle w:val="Normal"/>
              <w:suppressAutoHyphens w:val="true"/>
              <w:snapToGrid w:val="false"/>
              <w:ind w:hanging="5220" w:start="5220" w:end="0"/>
              <w:jc w:val="both"/>
              <w:rPr>
                <w:spacing w:val="-2"/>
                <w:sz w:val="22"/>
              </w:rPr>
            </w:pPr>
            <w:r>
              <w:rPr>
                <w:spacing w:val="-2"/>
                <w:sz w:val="22"/>
              </w:rPr>
            </w:r>
          </w:p>
          <w:p>
            <w:pPr>
              <w:pStyle w:val="Normal"/>
              <w:suppressAutoHyphens w:val="true"/>
              <w:ind w:hanging="5220" w:start="5220" w:end="0"/>
              <w:jc w:val="both"/>
              <w:rPr>
                <w:spacing w:val="-2"/>
                <w:sz w:val="22"/>
              </w:rPr>
            </w:pPr>
            <w:r>
              <w:rPr>
                <w:spacing w:val="-2"/>
                <w:sz w:val="22"/>
              </w:rPr>
            </w:r>
          </w:p>
        </w:tc>
      </w:tr>
    </w:tbl>
    <w:p>
      <w:pPr>
        <w:pStyle w:val="Normal"/>
        <w:suppressAutoHyphens w:val="true"/>
        <w:ind w:hanging="5220" w:start="5220" w:end="0"/>
        <w:jc w:val="both"/>
        <w:rPr>
          <w:sz w:val="22"/>
        </w:rPr>
      </w:pPr>
      <w:r>
        <w:rPr>
          <w:sz w:val="22"/>
        </w:rPr>
        <w:tab/>
        <w:tab/>
        <w:tab/>
        <w:tab/>
        <w:tab/>
        <w:tab/>
        <w:tab/>
        <w:tab/>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/mnt/main-storage/datasets/enron-docs/doc/039cctr_catequil_partners.guar_.doc</w:t>
    </w:r>
    <w:r>
      <w:rPr>
        <w:sz w:val="16"/>
      </w:rPr>
      <w:fldChar w:fldCharType="end"/>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039cctr_catequil_partners.guar_.doc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keepLines/>
      <w:numPr>
        <w:ilvl w:val="5"/>
        <w:numId w:val="1"/>
      </w:numPr>
      <w:spacing w:lineRule="exact" w:line="240"/>
      <w:ind w:hanging="0" w:start="0" w:end="180"/>
      <w:jc w:val="center"/>
      <w:outlineLvl w:val="5"/>
    </w:pPr>
    <w:rPr>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ider">
    <w:name w:val="Rider"/>
    <w:basedOn w:val="Normal"/>
    <w:next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2001-10-02T12:18:00Z</dcterms:created>
  <dc:creator>mheard</dc:creator>
  <dc:description/>
  <dc:language>en-CA</dc:language>
  <cp:lastModifiedBy>mheard</cp:lastModifiedBy>
  <cp:lastPrinted>2001-10-01T17:53:00Z</cp:lastPrinted>
  <dcterms:modified xsi:type="dcterms:W3CDTF">2001-10-02T12:24:00Z</dcterms:modified>
  <cp:revision>4</cp:revision>
  <dc:subject/>
  <dc:title>ISDA Multicurrency Agreement</dc:title>
</cp:coreProperties>
</file>