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O:\LEGAL\MHEARD\CTR\037ACTR(CATEQUIL OVERSEAS).DOC</w:t>
      </w:r>
    </w:p>
    <w:p>
      <w:pPr>
        <w:pStyle w:val="Normal"/>
        <w:bidi w:val="0"/>
        <w:jc w:val="start"/>
        <w:rPr/>
      </w:pPr>
      <w:r>
        <w:rPr/>
        <w:t>and revised document: O:\LEGAL\MHEARD\CTR\037BCTR(CATEQUIL OVERSEAS).DOC</w:t>
      </w:r>
    </w:p>
    <w:p>
      <w:pPr>
        <w:pStyle w:val="Normal"/>
        <w:bidi w:val="0"/>
        <w:jc w:val="start"/>
        <w:rPr/>
      </w:pPr>
      <w:r>
        <w:rPr/>
      </w:r>
    </w:p>
    <w:p>
      <w:pPr>
        <w:pStyle w:val="Normal"/>
        <w:bidi w:val="0"/>
        <w:jc w:val="start"/>
        <w:rPr/>
      </w:pPr>
      <w:r>
        <w:rPr/>
        <w:t>CompareRite found      17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5"/>
        <w:keepLines/>
        <w:bidi w:val="0"/>
        <w:jc w:val="end"/>
        <w:rPr>
          <w:rFonts w:ascii="Times New Roman" w:hAnsi="Times New Roman"/>
        </w:rPr>
      </w:pPr>
      <w:r>
        <w:rPr>
          <w:rFonts w:ascii="Times New Roman" w:hAnsi="Times New Roman"/>
        </w:rPr>
        <w:t xml:space="preserve">DRAFT OF </w:t>
      </w:r>
      <w:r>
        <w:rPr>
          <w:rFonts w:ascii="Times New Roman" w:hAnsi="Times New Roman"/>
          <w:strike/>
        </w:rPr>
        <w:t>08/16/2001</w:t>
      </w:r>
      <w:r>
        <w:rPr>
          <w:rFonts w:ascii="Times New Roman" w:hAnsi="Times New Roman"/>
        </w:rPr>
        <w:t xml:space="preserve"> 08/23/2001</w:t>
      </w:r>
    </w:p>
    <w:p>
      <w:pPr>
        <w:pStyle w:val="Normal"/>
        <w:keepNext w:val="true"/>
        <w:keepLines/>
        <w:bidi w:val="0"/>
        <w:jc w:val="end"/>
        <w:rPr>
          <w:rFonts w:ascii="Times New Roman" w:hAnsi="Times New Roman"/>
          <w:b/>
          <w:sz w:val="22"/>
        </w:rPr>
      </w:pPr>
      <w:r>
        <w:rPr>
          <w:rFonts w:ascii="Times New Roman" w:hAnsi="Times New Roman"/>
          <w:b/>
          <w:sz w:val="22"/>
        </w:rPr>
      </w:r>
    </w:p>
    <w:p>
      <w:pPr>
        <w:pStyle w:val="BodyText3"/>
        <w:keepNext w:val="true"/>
        <w:keepLines/>
        <w:bidi w:val="0"/>
        <w:rPr>
          <w:rFonts w:ascii="Times New Roman" w:hAnsi="Times New Roman"/>
        </w:rPr>
      </w:pPr>
      <w:r>
        <w:rPr>
          <w:rFonts w:ascii="Times New Roman" w:hAnsi="Times New Roman"/>
        </w:rPr>
        <w:t>SCHEDULE</w:t>
        <w:br/>
        <w:t>to the</w:t>
        <w:br/>
        <w:t>MASTER AGREEMENT</w:t>
        <w:br/>
        <w:t>(Multicurrency-Cross Border)</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34" w:hRule="atLeast"/>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pPr>
            <w:r>
              <w:rPr>
                <w:rFonts w:ascii="Times New Roman" w:hAnsi="Times New Roman"/>
                <w:b/>
                <w:caps/>
                <w:sz w:val="22"/>
              </w:rPr>
              <w:t>Catequil OVERSEAS partners</w:t>
            </w:r>
            <w:r>
              <w:rPr>
                <w:rFonts w:ascii="Times New Roman" w:hAnsi="Times New Roman"/>
                <w:b/>
                <w:caps/>
                <w:strike/>
                <w:sz w:val="22"/>
              </w:rPr>
              <w:t>,</w:t>
            </w:r>
            <w:r>
              <w:rPr>
                <w:rFonts w:ascii="Times New Roman" w:hAnsi="Times New Roman"/>
                <w:b/>
                <w:caps/>
                <w:sz w:val="22"/>
              </w:rPr>
              <w:t xml:space="preserve"> lTD.,</w:t>
            </w:r>
            <w:r>
              <w:rPr>
                <w:rFonts w:ascii="Times New Roman" w:hAnsi="Times New Roman"/>
                <w:b/>
                <w:sz w:val="22"/>
              </w:rPr>
              <w:t xml:space="preserve"> a limited </w:t>
            </w:r>
            <w:r>
              <w:rPr>
                <w:rFonts w:ascii="Times New Roman" w:hAnsi="Times New Roman"/>
                <w:b/>
                <w:strike/>
                <w:sz w:val="22"/>
              </w:rPr>
              <w:t>partnership</w:t>
            </w:r>
            <w:r>
              <w:rPr>
                <w:rFonts w:ascii="Times New Roman" w:hAnsi="Times New Roman"/>
                <w:b/>
                <w:sz w:val="22"/>
              </w:rPr>
              <w:t xml:space="preserve"> </w:t>
            </w:r>
            <w:r>
              <w:rPr>
                <w:rFonts w:ascii="Times New Roman" w:hAnsi="Times New Roman"/>
                <w:b/>
                <w:sz w:val="22"/>
                <w:u w:val="single"/>
              </w:rPr>
              <w:t>company</w:t>
            </w:r>
            <w:r>
              <w:rPr>
                <w:rFonts w:ascii="Times New Roman" w:hAnsi="Times New Roman"/>
                <w:b/>
                <w:sz w:val="22"/>
              </w:rPr>
              <w:t xml:space="preserve"> organized under the law of the Cayman Islands (“Party B”)</w:t>
            </w:r>
          </w:p>
        </w:tc>
      </w:tr>
    </w:tbl>
    <w:p>
      <w:pPr>
        <w:pStyle w:val="Normal"/>
        <w:keepNext w:val="true"/>
        <w:keepLines/>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(i) “Specified Transaction” </w:t>
      </w:r>
      <w:r>
        <w:rPr>
          <w:rFonts w:ascii="Times New Roman" w:hAnsi="Times New Roman"/>
          <w:sz w:val="22"/>
        </w:rPr>
        <w:t>will have the meaning specified in Section 14.</w:t>
      </w:r>
    </w:p>
    <w:p>
      <w:pPr>
        <w:pStyle w:val="Normal"/>
        <w:keepNext w:val="true"/>
        <w:keepLines/>
        <w:tabs>
          <w:tab w:val="clear" w:pos="720"/>
          <w:tab w:val="left" w:pos="1710" w:leader="none"/>
        </w:tabs>
        <w:bidi w:val="0"/>
        <w:spacing w:lineRule="exact" w:line="240" w:before="240" w:after="0"/>
        <w:ind w:hanging="0" w:start="1440"/>
        <w:jc w:val="both"/>
        <w:rPr>
          <w:rFonts w:ascii="Times New Roman" w:hAnsi="Times New Roman"/>
          <w:sz w:val="22"/>
        </w:rPr>
      </w:pPr>
      <w:r>
        <w:rPr>
          <w:rFonts w:ascii="Times New Roman" w:hAnsi="Times New Roman"/>
          <w:sz w:val="22"/>
        </w:rPr>
        <w:t>(ii)</w:t>
        <w:tab/>
        <w:t xml:space="preserve"> The “Default under Specified Transaction” provisions of Section 5(a)(v) are amended by adding the following proviso at the end thereof:</w:t>
      </w:r>
    </w:p>
    <w:p>
      <w:pPr>
        <w:pStyle w:val="Normal"/>
        <w:keepNext w:val="true"/>
        <w:keepLines/>
        <w:bidi w:val="0"/>
        <w:spacing w:lineRule="exact" w:line="240" w:before="240" w:after="0"/>
        <w:ind w:hanging="0" w:start="1440"/>
        <w:jc w:val="both"/>
        <w:rPr>
          <w:rFonts w:ascii="Times New Roman" w:hAnsi="Times New Roman"/>
          <w:sz w:val="22"/>
        </w:rPr>
      </w:pPr>
      <w:r>
        <w:rPr>
          <w:rFonts w:ascii="Times New Roman" w:hAnsi="Times New Roman"/>
          <w:sz w:val="22"/>
        </w:rPr>
        <w:t>“</w:t>
      </w:r>
      <w:r>
        <w:rPr>
          <w:rFonts w:ascii="Times New Roman" w:hAnsi="Times New Roman"/>
          <w:sz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keepNext w:val="true"/>
        <w:keepLines/>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“Termination Currency”</w:t>
      </w:r>
      <w:r>
        <w:rPr>
          <w:rFonts w:ascii="Times New Roman" w:hAnsi="Times New Roman"/>
          <w:sz w:val="22"/>
        </w:rPr>
        <w:t xml:space="preserve"> means United States Dollars.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t>(A)    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bidi w:val="0"/>
        <w:spacing w:lineRule="atLeast" w:line="24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Additional Termination Event</w:t>
      </w:r>
      <w:r>
        <w:rPr>
          <w:rFonts w:ascii="Times New Roman" w:hAnsi="Times New Roman"/>
          <w:sz w:val="22"/>
        </w:rPr>
        <w:t xml:space="preserve"> will apply.    (i) The following will each constitute an Additional Termination Event with respect to Party B:</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in any twelve (12) month period the Net Asset Value of Party B declines by more than 50 %.</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ratio of its Liabilities to Net Asset Value is more than 10 to 1.</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its Net Asset Value falls below $35,000,000.</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Manager resigns, is terminated or is otherwise incapacitated for a period exceeding one month.</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(e)</w:t>
        <w:tab/>
        <w:t>If the Management Agreement is terminated or otherwise ceases to exist.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(ii) The following will constitute an Additional Termination Event with respect to Party A:</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BodyTextIndent"/>
        <w:keepNext w:val="true"/>
        <w:keepLines/>
        <w:bidi w:val="0"/>
        <w:spacing w:lineRule="auto" w:line="240" w:before="0" w:after="0"/>
        <w:rPr>
          <w:rFonts w:ascii="Times New Roman" w:hAnsi="Times New Roman"/>
        </w:rPr>
      </w:pPr>
      <w:r>
        <w:rPr>
          <w:rFonts w:ascii="Times New Roman" w:hAnsi="Times New Roman"/>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bidi w:val="0"/>
        <w:spacing w:lineRule="exact" w:line="240" w:before="240" w:after="0"/>
        <w:ind w:firstLine="720"/>
        <w:jc w:val="both"/>
        <w:rPr>
          <w:rFonts w:ascii="Times New Roman" w:hAnsi="Times New Roman"/>
          <w:sz w:val="20"/>
        </w:rPr>
      </w:pPr>
      <w:r>
        <w:rPr>
          <w:rFonts w:ascii="Times New Roman" w:hAnsi="Times New Roman"/>
          <w:sz w:val="22"/>
        </w:rPr>
        <w:t>(j)</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2.    Tax Representations.</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makes no representations, and Party B makes the following representations:</w:t>
      </w:r>
    </w:p>
    <w:p>
      <w:pPr>
        <w:pStyle w:val="Normal"/>
        <w:keepNext w:val="true"/>
        <w:keepLines/>
        <w:bidi w:val="0"/>
        <w:spacing w:lineRule="exact" w:line="240" w:before="240" w:after="0"/>
        <w:ind w:hanging="720" w:start="1440"/>
        <w:jc w:val="both"/>
        <w:rPr>
          <w:rFonts w:ascii="Times New Roman" w:hAnsi="Times New Roman"/>
          <w:sz w:val="22"/>
        </w:rPr>
      </w:pPr>
      <w:r>
        <w:rPr>
          <w:rFonts w:ascii="Times New Roman" w:hAnsi="Times New Roman"/>
          <w:sz w:val="22"/>
        </w:rPr>
        <w:t>(i)</w:t>
        <w:tab/>
        <w:t>Each payment received or to be received by it in connection with this Agreement will not be effectively connected with its conduct of a trade or business in the United States.</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If Party B is an offshore investment fund and currency swaps are contemplated, the following representation should be added to the Payee Representations:</w:t>
      </w:r>
    </w:p>
    <w:p>
      <w:pPr>
        <w:pStyle w:val="Normal"/>
        <w:keepNext w:val="true"/>
        <w:keepLines/>
        <w:bidi w:val="0"/>
        <w:spacing w:lineRule="exact" w:line="240" w:before="240" w:after="0"/>
        <w:ind w:hanging="720" w:start="1440"/>
        <w:jc w:val="both"/>
        <w:rPr>
          <w:rFonts w:ascii="Times New Roman" w:hAnsi="Times New Roman"/>
          <w:sz w:val="22"/>
        </w:rPr>
      </w:pPr>
      <w:r>
        <w:rPr>
          <w:rFonts w:ascii="Times New Roman" w:hAnsi="Times New Roman"/>
          <w:sz w:val="22"/>
        </w:rPr>
        <w:t xml:space="preserve">(ii) </w:t>
        <w:tab/>
        <w:t>Party B makes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No direct or indirect beneficial owner of Party B is a resident of the United States for federal income tax purposes.</w:t>
      </w:r>
    </w:p>
    <w:p>
      <w:pPr>
        <w:pStyle w:val="Heading4"/>
        <w:keepLines/>
        <w:bidi w:val="0"/>
        <w:spacing w:lineRule="exact" w:line="480" w:before="240" w:after="120"/>
        <w:rPr>
          <w:rFonts w:ascii="Times New Roman" w:hAnsi="Times New Roman"/>
        </w:rPr>
      </w:pPr>
      <w:r>
        <w:rPr>
          <w:rFonts w:ascii="Times New Roman" w:hAnsi="Times New Roman"/>
        </w:rPr>
        <w:t>Part 3.</w:t>
        <w:tab/>
        <w:t>Agreement to Deliver Documents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tblHeader w:val="true"/>
          <w:cantSplit w:val="true"/>
        </w:trPr>
        <w:tc>
          <w:tcPr>
            <w:tcW w:w="183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gridSpan w:val="2"/>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gridSpan w:val="2"/>
            <w:tcBorders/>
            <w:vAlign w:val="bottom"/>
          </w:tcPr>
          <w:p>
            <w:pPr>
              <w:pStyle w:val="Normal"/>
              <w:keepNext w:val="true"/>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Party A </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 xml:space="preserve">United States Internal Revenue Service Form W-8BEN, or any successor form </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sz w:val="22"/>
              </w:rPr>
              <w:t xml:space="preserve">(i) At execution of this Master Agreement and as otherwise provided in this Part 3, (ii) before the first Scheduled Payment Date under this Master Agreement, (ii) before the first Scheduled Payment Date in each third successive calendar year, (iii) promptly upon reasonable demand by Party A, and (iv) promptly upon learning that any such form previously provided by Party B has become obsolete or incorrect </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7" w:type="dxa"/>
            <w:tcBorders/>
          </w:tcPr>
          <w:p>
            <w:pPr>
              <w:pStyle w:val="Justified"/>
              <w:keepNext w:val="true"/>
              <w:tabs>
                <w:tab w:val="clear" w:pos="720"/>
              </w:tabs>
              <w:bidi w:val="0"/>
              <w:spacing w:lineRule="atLeast" w:line="240" w:before="240" w:after="0"/>
              <w:rPr/>
            </w:pPr>
            <w:r>
              <w:rPr>
                <w:rFonts w:ascii="Times New Roman" w:hAnsi="Times New Roman"/>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A</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sz w:val="22"/>
              </w:rPr>
              <w:t>Promptly following demand by Party A</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Legal opinion in form and substance satisfactory to Party A and its counsel</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No</w:t>
            </w:r>
          </w:p>
        </w:tc>
      </w:tr>
      <w:tr>
        <w:trPr>
          <w:trHeight w:val="3807" w:hRule="atLeast"/>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69" w:type="dxa"/>
            <w:tcBorders/>
          </w:tcPr>
          <w:p>
            <w:pPr>
              <w:pStyle w:val="Justified"/>
              <w:keepNext w:val="true"/>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49" w:type="dxa"/>
            <w:gridSpan w:val="3"/>
            <w:tcBorders/>
          </w:tcPr>
          <w:p>
            <w:pPr>
              <w:pStyle w:val="Justified"/>
              <w:keepNext w:val="true"/>
              <w:tabs>
                <w:tab w:val="clear" w:pos="720"/>
              </w:tabs>
              <w:bidi w:val="0"/>
              <w:spacing w:lineRule="atLeast" w:line="240" w:before="240" w:after="0"/>
              <w:rPr/>
            </w:pPr>
            <w:r>
              <w:rPr>
                <w:rFonts w:ascii="Times New Roman" w:hAnsi="Times New Roman"/>
              </w:rPr>
              <w:t>Promptly following demand by Party A</w:t>
            </w:r>
          </w:p>
        </w:tc>
        <w:tc>
          <w:tcPr>
            <w:tcW w:w="1980" w:type="dxa"/>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bl>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keepNext w:val="true"/>
        <w:keepLine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keepNext w:val="true"/>
        <w:keepLines/>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Catequil Overseas Partners</w:t>
            </w:r>
            <w:r>
              <w:rPr>
                <w:rFonts w:ascii="Times New Roman" w:hAnsi="Times New Roman"/>
                <w:strike/>
                <w:sz w:val="22"/>
              </w:rPr>
              <w:t>,</w:t>
            </w:r>
            <w:r>
              <w:rPr>
                <w:rFonts w:ascii="Times New Roman" w:hAnsi="Times New Roman"/>
                <w:sz w:val="22"/>
              </w:rPr>
              <w:t xml:space="preserve"> Ltd.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c/o Catequil Management,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1251 Avenue of the Americas</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New York, New York 10020</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Attention: James Giordano</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(212) 899-4210    </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(212) 899-4205</w:t>
            </w:r>
          </w:p>
        </w:tc>
      </w:tr>
    </w:tbl>
    <w:p>
      <w:pPr>
        <w:pStyle w:val="Normal"/>
        <w:keepNext w:val="true"/>
        <w:keepLines/>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Process Agent.</w:t>
      </w:r>
      <w:r>
        <w:rPr>
          <w:rFonts w:ascii="Times New Roman" w:hAnsi="Times New Roman"/>
          <w:sz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w:t>
      </w:r>
      <w:r>
        <w:rPr>
          <w:rFonts w:ascii="Times New Roman" w:hAnsi="Times New Roman"/>
          <w:strike/>
          <w:sz w:val="22"/>
        </w:rPr>
        <w:t>______________________________</w:t>
      </w:r>
      <w:r>
        <w:rPr>
          <w:rFonts w:ascii="Times New Roman" w:hAnsi="Times New Roman"/>
          <w:b/>
          <w:sz w:val="22"/>
          <w:u w:val="single"/>
        </w:rPr>
        <w:t>Catequil Asset Management, L.P.</w:t>
      </w:r>
      <w:r>
        <w:rPr>
          <w:rFonts w:ascii="Times New Roman" w:hAnsi="Times New Roman"/>
          <w:sz w:val="22"/>
        </w:rPr>
        <w:t xml:space="preserve">, having an office in </w:t>
      </w:r>
      <w:r>
        <w:rPr>
          <w:rFonts w:ascii="Times New Roman" w:hAnsi="Times New Roman"/>
          <w:strike/>
          <w:sz w:val="22"/>
        </w:rPr>
        <w:t>__________________</w:t>
      </w:r>
      <w:r>
        <w:rPr>
          <w:rFonts w:ascii="Times New Roman" w:hAnsi="Times New Roman"/>
          <w:b/>
          <w:sz w:val="22"/>
          <w:u w:val="single"/>
        </w:rPr>
        <w:t>New York, New York</w:t>
      </w:r>
      <w:r>
        <w:rPr>
          <w:rFonts w:ascii="Times New Roman" w:hAnsi="Times New Roman"/>
          <w:sz w:val="22"/>
        </w:rPr>
        <w:t xml:space="preserve"> on the date of this Agreement at </w:t>
      </w:r>
      <w:r>
        <w:rPr>
          <w:rFonts w:ascii="Times New Roman" w:hAnsi="Times New Roman"/>
          <w:strike/>
          <w:sz w:val="22"/>
        </w:rPr>
        <w:t>_________________________________.</w:t>
      </w:r>
      <w:r>
        <w:rPr>
          <w:rFonts w:ascii="Times New Roman" w:hAnsi="Times New Roman"/>
          <w:sz w:val="22"/>
        </w:rPr>
        <w:t xml:space="preserve"> </w:t>
      </w:r>
      <w:r>
        <w:rPr>
          <w:rFonts w:ascii="Times New Roman" w:hAnsi="Times New Roman"/>
          <w:b/>
          <w:sz w:val="22"/>
          <w:u w:val="single"/>
        </w:rPr>
        <w:t>1251 Avenue of the Americas, New York, New York    10020.</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and (h):</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Eligibility.</w:t>
      </w:r>
      <w:r>
        <w:rPr>
          <w:rFonts w:ascii="Times New Roman" w:hAnsi="Times New Roman"/>
          <w:sz w:val="22"/>
        </w:rPr>
        <w:t>    It constitutes an “eligible contract participant” as such term is defined in the Commodity Exchange Act, as amended 7 U.S.C. §1a(12).</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keepNext w:val="true"/>
        <w:keepLines/>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(i) adding in the third line thereof after the word “party,” the words “which consent will not be unreasonably withheld or delayed”, and (ii) adding the following at the end thereof:</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Limitation of Rate.</w:t>
      </w:r>
      <w:r>
        <w:rPr>
          <w:rFonts w:ascii="Times New Roman" w:hAnsi="Times New Roman"/>
          <w:sz w:val="22"/>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(o)</w:t>
        <w:tab/>
      </w:r>
      <w:r>
        <w:rPr>
          <w:rFonts w:ascii="Times New Roman" w:hAnsi="Times New Roman"/>
          <w:b/>
          <w:sz w:val="22"/>
        </w:rPr>
        <w:t>Existing Transactions</w:t>
      </w:r>
      <w:r>
        <w:rPr>
          <w:rFonts w:ascii="Times New Roman" w:hAnsi="Times New Roman"/>
          <w:sz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(p)</w:t>
        <w:tab/>
        <w:t>Additional Definitions.    Section 14 of the Agreement is hereby amended by adding the following definitions: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(a)</w:t>
        <w:tab/>
      </w:r>
      <w:r>
        <w:rPr>
          <w:rFonts w:ascii="Times New Roman" w:hAnsi="Times New Roman"/>
          <w:b/>
          <w:sz w:val="22"/>
        </w:rPr>
        <w:t>“Affiliate”</w:t>
      </w:r>
      <w:r>
        <w:rPr>
          <w:rFonts w:ascii="Times New Roman" w:hAnsi="Times New Roman"/>
          <w:sz w:val="22"/>
        </w:rPr>
        <w:t xml:space="preserve"> shall mean Catequil Partners, L.P.</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“Net Asset Value” </w:t>
      </w:r>
      <w:r>
        <w:rPr>
          <w:rFonts w:ascii="Times New Roman" w:hAnsi="Times New Roman"/>
          <w:sz w:val="22"/>
        </w:rPr>
        <w:t>means the total assets of Party B minus the total liabilities of Party B, all determined in accordance with U.S. GAAP</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 xml:space="preserve">“Management Agreement” </w:t>
      </w:r>
      <w:r>
        <w:rPr>
          <w:rFonts w:ascii="Times New Roman" w:hAnsi="Times New Roman"/>
          <w:sz w:val="22"/>
        </w:rPr>
        <w:t xml:space="preserve">means that certain investment management agreement dated </w:t>
      </w:r>
      <w:r>
        <w:rPr>
          <w:rFonts w:ascii="Times New Roman" w:hAnsi="Times New Roman"/>
          <w:strike/>
          <w:sz w:val="22"/>
        </w:rPr>
        <w:t>____________</w:t>
      </w:r>
      <w:r>
        <w:rPr>
          <w:rFonts w:ascii="Times New Roman" w:hAnsi="Times New Roman"/>
          <w:b/>
          <w:sz w:val="22"/>
          <w:u w:val="single"/>
        </w:rPr>
        <w:t>November 14, 2000</w:t>
      </w:r>
      <w:r>
        <w:rPr>
          <w:rFonts w:ascii="Times New Roman" w:hAnsi="Times New Roman"/>
          <w:sz w:val="22"/>
        </w:rPr>
        <w:t xml:space="preserve"> between Party B and the Manager.</w:t>
      </w:r>
    </w:p>
    <w:p>
      <w:pPr>
        <w:pStyle w:val="BodyTextIndent"/>
        <w:keepNext w:val="true"/>
        <w:keepLines/>
        <w:bidi w:val="0"/>
        <w:spacing w:lineRule="atLeast" w:line="240"/>
        <w:rPr>
          <w:rFonts w:ascii="Times New Roman" w:hAnsi="Times New Roman"/>
        </w:rPr>
      </w:pPr>
      <w:r>
        <w:rPr>
          <w:rFonts w:ascii="Times New Roman" w:hAnsi="Times New Roman"/>
        </w:rPr>
        <w:t>(d)</w:t>
        <w:tab/>
      </w:r>
      <w:r>
        <w:rPr>
          <w:rFonts w:ascii="Times New Roman" w:hAnsi="Times New Roman"/>
          <w:b/>
        </w:rPr>
        <w:t xml:space="preserve">“Investment Policy” </w:t>
      </w:r>
      <w:r>
        <w:rPr>
          <w:rFonts w:ascii="Times New Roman" w:hAnsi="Times New Roman"/>
        </w:rPr>
        <w:t>means Party B’s investment objectives, restrictions and guidelines as set forth in Party B’s prospectus, which incorporates the use of derivative products, including swaps, options and other Transactions.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(e)</w:t>
        <w:tab/>
      </w:r>
      <w:r>
        <w:rPr>
          <w:rFonts w:ascii="Times New Roman" w:hAnsi="Times New Roman"/>
          <w:b/>
          <w:sz w:val="22"/>
        </w:rPr>
        <w:t xml:space="preserve">“Manager” </w:t>
      </w:r>
      <w:r>
        <w:rPr>
          <w:rFonts w:ascii="Times New Roman" w:hAnsi="Times New Roman"/>
          <w:sz w:val="22"/>
        </w:rPr>
        <w:t>means Catequil Asset Management, L.P.</w:t>
      </w:r>
    </w:p>
    <w:p>
      <w:pPr>
        <w:pStyle w:val="Normal"/>
        <w:keepNext w:val="true"/>
        <w:keepLines/>
        <w:bidi w:val="0"/>
        <w:ind w:hanging="0" w:start="360"/>
        <w:jc w:val="both"/>
        <w:rPr>
          <w:rFonts w:ascii="Arial Narrow" w:hAnsi="Arial Narrow"/>
          <w:sz w:val="18"/>
        </w:rPr>
      </w:pPr>
      <w:r>
        <w:rPr>
          <w:rFonts w:ascii="Arial Narrow" w:hAnsi="Arial Narrow"/>
          <w:sz w:val="18"/>
        </w:rPr>
      </w:r>
    </w:p>
    <w:p>
      <w:pPr>
        <w:pStyle w:val="Normal"/>
        <w:keepNext w:val="true"/>
        <w:keepLines/>
        <w:bidi w:val="0"/>
        <w:ind w:hanging="0" w:start="720"/>
        <w:jc w:val="both"/>
        <w:rPr>
          <w:rFonts w:ascii="Times New Roman" w:hAnsi="Times New Roman"/>
          <w:sz w:val="22"/>
        </w:rPr>
      </w:pPr>
      <w:r>
        <w:rPr>
          <w:rFonts w:ascii="Times New Roman" w:hAnsi="Times New Roman"/>
          <w:sz w:val="22"/>
        </w:rPr>
        <w:t>(f)</w:t>
        <w:tab/>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(g)</w:t>
        <w:tab/>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(h)</w:t>
        <w:tab/>
        <w:t>“materially weaker” as used in Section 5(b)(iv) of the Agreement shall mean with respect to Party A, 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(q)</w:t>
        <w:tab/>
      </w:r>
      <w:r>
        <w:rPr>
          <w:rFonts w:ascii="Times New Roman" w:hAnsi="Times New Roman"/>
          <w:b/>
          <w:sz w:val="22"/>
        </w:rPr>
        <w:t>“Accuracy of Specified Information”</w:t>
      </w:r>
      <w:r>
        <w:rPr>
          <w:rFonts w:ascii="Times New Roman" w:hAnsi="Times New Roman"/>
          <w:sz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keepNext w:val="true"/>
        <w:keepLines/>
        <w:tabs>
          <w:tab w:val="clear" w:pos="720"/>
          <w:tab w:val="left" w:pos="1350" w:leader="none"/>
        </w:tabs>
        <w:bidi w:val="0"/>
        <w:spacing w:before="0" w:after="0"/>
        <w:rPr>
          <w:rFonts w:ascii="Times New Roman" w:hAnsi="Times New Roman"/>
        </w:rPr>
      </w:pPr>
      <w:r>
        <w:rPr>
          <w:rFonts w:ascii="Times New Roman" w:hAnsi="Times New Roman"/>
        </w:rPr>
      </w:r>
    </w:p>
    <w:p>
      <w:pPr>
        <w:pStyle w:val="Normal"/>
        <w:keepNext w:val="true"/>
        <w:keepLines/>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bidi w:val="0"/>
        <w:ind w:firstLine="720" w:start="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BodyTextIndent2"/>
        <w:keepNext w:val="true"/>
        <w:keepLines/>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bidi w:val="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bidi w:val="0"/>
        <w:spacing w:before="0" w:after="0"/>
        <w:rPr>
          <w:rFonts w:ascii="Times New Roman" w:hAnsi="Times New Roman"/>
        </w:rPr>
      </w:pPr>
      <w:r>
        <w:rPr>
          <w:rFonts w:ascii="Times New Roman" w:hAnsi="Times New Roman"/>
        </w:rPr>
      </w:r>
    </w:p>
    <w:p>
      <w:pPr>
        <w:pStyle w:val="Heading2"/>
        <w:bidi w:val="0"/>
        <w:rPr/>
      </w:pPr>
      <w:r>
        <w:rPr/>
      </w:r>
    </w:p>
    <w:p>
      <w:pPr>
        <w:pStyle w:val="Justified"/>
        <w:keepNext w:val="true"/>
        <w:keepLines/>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keepLines/>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caps/>
                <w:strike/>
                <w:sz w:val="22"/>
              </w:rPr>
            </w:pPr>
            <w:r>
              <w:rPr>
                <w:rFonts w:ascii="Times New Roman" w:hAnsi="Times New Roman"/>
                <w:b/>
                <w:caps/>
                <w:sz w:val="22"/>
              </w:rPr>
              <w:t>Catequil OVERSEAS partners</w:t>
            </w:r>
            <w:r>
              <w:rPr>
                <w:rFonts w:ascii="Times New Roman" w:hAnsi="Times New Roman"/>
                <w:b/>
                <w:caps/>
                <w:strike/>
                <w:sz w:val="22"/>
              </w:rPr>
              <w:t>, lTD.</w:t>
            </w:r>
          </w:p>
          <w:p>
            <w:pPr>
              <w:pStyle w:val="Normal"/>
              <w:keepNext w:val="true"/>
              <w:tabs>
                <w:tab w:val="clear" w:pos="720"/>
              </w:tabs>
              <w:bidi w:val="0"/>
              <w:spacing w:lineRule="exact" w:line="240"/>
              <w:jc w:val="both"/>
              <w:rPr>
                <w:rFonts w:ascii="Times New Roman" w:hAnsi="Times New Roman"/>
                <w:b/>
                <w:caps/>
                <w:strike/>
                <w:sz w:val="22"/>
              </w:rPr>
            </w:pPr>
            <w:r>
              <w:rPr>
                <w:rFonts w:ascii="Times New Roman" w:hAnsi="Times New Roman"/>
                <w:b/>
                <w:caps/>
                <w:strike/>
                <w:sz w:val="22"/>
              </w:rPr>
            </w:r>
          </w:p>
          <w:p>
            <w:pPr>
              <w:pStyle w:val="Normal"/>
              <w:keepNext w:val="true"/>
              <w:tabs>
                <w:tab w:val="clear" w:pos="720"/>
              </w:tabs>
              <w:bidi w:val="0"/>
              <w:spacing w:lineRule="exact" w:line="240"/>
              <w:jc w:val="both"/>
              <w:rPr>
                <w:rFonts w:ascii="Times New Roman" w:hAnsi="Times New Roman"/>
                <w:b/>
                <w:caps/>
                <w:strike/>
                <w:sz w:val="22"/>
              </w:rPr>
            </w:pPr>
            <w:r>
              <w:rPr>
                <w:rFonts w:ascii="Times New Roman" w:hAnsi="Times New Roman"/>
                <w:b/>
                <w:caps/>
                <w:strike/>
                <w:sz w:val="22"/>
              </w:rPr>
              <w:t>By: Catequil Associates LLC,</w:t>
            </w:r>
          </w:p>
          <w:p>
            <w:pPr>
              <w:pStyle w:val="Normal"/>
              <w:keepNext w:val="true"/>
              <w:tabs>
                <w:tab w:val="clear" w:pos="720"/>
              </w:tabs>
              <w:bidi w:val="0"/>
              <w:spacing w:lineRule="exact" w:line="240"/>
              <w:jc w:val="both"/>
              <w:rPr>
                <w:rFonts w:ascii="Times New Roman" w:hAnsi="Times New Roman"/>
                <w:b/>
                <w:caps/>
                <w:sz w:val="22"/>
                <w:u w:val="single"/>
              </w:rPr>
            </w:pPr>
            <w:r>
              <w:rPr>
                <w:rFonts w:ascii="Times New Roman" w:hAnsi="Times New Roman"/>
                <w:b/>
                <w:caps/>
                <w:strike/>
                <w:sz w:val="22"/>
              </w:rPr>
              <w:t>Its General Partner</w:t>
            </w:r>
            <w:r>
              <w:rPr>
                <w:rFonts w:ascii="Times New Roman" w:hAnsi="Times New Roman"/>
                <w:b/>
                <w:caps/>
                <w:sz w:val="22"/>
              </w:rPr>
              <w:t xml:space="preserve"> </w:t>
            </w:r>
            <w:r>
              <w:rPr>
                <w:rFonts w:ascii="Times New Roman" w:hAnsi="Times New Roman"/>
                <w:b/>
                <w:caps/>
                <w:sz w:val="22"/>
                <w:u w:val="single"/>
              </w:rPr>
              <w:t>lTD.</w:t>
            </w:r>
          </w:p>
          <w:p>
            <w:pPr>
              <w:pStyle w:val="Normal"/>
              <w:keepNext w:val="true"/>
              <w:tabs>
                <w:tab w:val="clear" w:pos="720"/>
              </w:tabs>
              <w:bidi w:val="0"/>
              <w:spacing w:lineRule="exact" w:line="240"/>
              <w:jc w:val="both"/>
              <w:rPr>
                <w:rFonts w:ascii="Times New Roman" w:hAnsi="Times New Roman"/>
                <w:b/>
                <w:caps/>
                <w:sz w:val="22"/>
              </w:rPr>
            </w:pPr>
            <w:r>
              <w:rPr>
                <w:rFonts w:ascii="Times New Roman" w:hAnsi="Times New Roman"/>
                <w:b/>
                <w:caps/>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r>
            <w:r>
              <w:rPr>
                <w:rFonts w:ascii="Times New Roman" w:hAnsi="Times New Roman"/>
                <w:sz w:val="22"/>
                <w:u w:val="single"/>
              </w:rPr>
              <w:tab/>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r>
            <w:r>
              <w:rPr>
                <w:rFonts w:ascii="Times New Roman" w:hAnsi="Times New Roman"/>
                <w:sz w:val="22"/>
                <w:u w:val="single"/>
              </w:rPr>
              <w:tab/>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r>
            <w:r>
              <w:rPr>
                <w:rFonts w:ascii="Times New Roman" w:hAnsi="Times New Roman"/>
                <w:sz w:val="22"/>
                <w:u w:val="single"/>
              </w:rPr>
              <w:tab/>
              <w:tab/>
              <w:tab/>
              <w:tab/>
              <w:tab/>
              <w:tab/>
            </w:r>
          </w:p>
          <w:p>
            <w:pPr>
              <w:pStyle w:val="Normal"/>
              <w:keepNext w:val="true"/>
              <w:tabs>
                <w:tab w:val="clear" w:pos="720"/>
              </w:tabs>
              <w:bidi w:val="0"/>
              <w:spacing w:lineRule="exact" w:line="240"/>
              <w:jc w:val="both"/>
              <w:rPr/>
            </w:pPr>
            <w:r>
              <w:rPr>
                <w:rFonts w:ascii="Times New Roman" w:hAnsi="Times New Roman"/>
                <w:sz w:val="22"/>
              </w:rPr>
              <w:t>Date:</w:t>
            </w:r>
            <w:r>
              <w:rPr>
                <w:rFonts w:ascii="Times New Roman" w:hAnsi="Times New Roman"/>
                <w:sz w:val="22"/>
                <w:u w:val="single"/>
              </w:rPr>
              <w:tab/>
              <w:tab/>
              <w:tab/>
              <w:tab/>
              <w:tab/>
              <w:tab/>
            </w:r>
          </w:p>
        </w:tc>
      </w:tr>
    </w:tbl>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t>ATTACHMENT 1</w:t>
        <w:tab/>
        <w:t>FORM OF LEGAL OPINION (PARTY B)</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t>ATTACHMENT 1</w:t>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r>
    </w:p>
    <w:p>
      <w:pPr>
        <w:pStyle w:val="Heading1"/>
        <w:keepLines/>
        <w:bidi w:val="0"/>
        <w:rPr>
          <w:rFonts w:ascii="Times New Roman" w:hAnsi="Times New Roman"/>
          <w:color w:val="000000"/>
        </w:rPr>
      </w:pPr>
      <w:r>
        <w:rPr>
          <w:rFonts w:ascii="Times New Roman" w:hAnsi="Times New Roman"/>
          <w:color w:val="000000"/>
        </w:rPr>
        <w:t>LEGAL OPINION</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[Letterhead of</w:t>
      </w:r>
    </w:p>
    <w:p>
      <w:pPr>
        <w:pStyle w:val="Normal"/>
        <w:keepNext w:val="true"/>
        <w:keepLines/>
        <w:bidi w:val="0"/>
        <w:jc w:val="center"/>
        <w:rPr>
          <w:rFonts w:ascii="Times New Roman" w:hAnsi="Times New Roman"/>
          <w:sz w:val="22"/>
        </w:rPr>
      </w:pPr>
      <w:r>
        <w:rPr>
          <w:rFonts w:ascii="Times New Roman" w:hAnsi="Times New Roman"/>
          <w:sz w:val="22"/>
        </w:rPr>
        <w:t>Counsel to Counterparty]</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[Date]</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Enron North America Corp.</w:t>
      </w:r>
    </w:p>
    <w:p>
      <w:pPr>
        <w:pStyle w:val="Normal"/>
        <w:keepNext w:val="true"/>
        <w:keepLines/>
        <w:bidi w:val="0"/>
        <w:jc w:val="start"/>
        <w:rPr>
          <w:rFonts w:ascii="Times New Roman" w:hAnsi="Times New Roman"/>
          <w:sz w:val="22"/>
        </w:rPr>
      </w:pPr>
      <w:r>
        <w:rPr>
          <w:rFonts w:ascii="Times New Roman" w:hAnsi="Times New Roman"/>
          <w:sz w:val="22"/>
        </w:rPr>
        <w:t>1400 Smith Street</w:t>
      </w:r>
    </w:p>
    <w:p>
      <w:pPr>
        <w:pStyle w:val="Normal"/>
        <w:keepNext w:val="true"/>
        <w:keepLines/>
        <w:bidi w:val="0"/>
        <w:jc w:val="start"/>
        <w:rPr>
          <w:rFonts w:ascii="Times New Roman" w:hAnsi="Times New Roman"/>
          <w:sz w:val="22"/>
        </w:rPr>
      </w:pPr>
      <w:r>
        <w:rPr>
          <w:rFonts w:ascii="Times New Roman" w:hAnsi="Times New Roman"/>
          <w:sz w:val="22"/>
        </w:rPr>
        <w:t>Houston, Texas    77002</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Dear Sir or Madam:</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ind w:firstLine="1440"/>
        <w:jc w:val="both"/>
        <w:rPr>
          <w:rFonts w:ascii="Times New Roman" w:hAnsi="Times New Roman"/>
          <w:sz w:val="22"/>
        </w:rPr>
      </w:pPr>
      <w:r>
        <w:rPr>
          <w:rFonts w:ascii="Times New Roman" w:hAnsi="Times New Roman"/>
          <w:sz w:val="22"/>
        </w:rPr>
        <w:t>We have acted as counsel to Catequil Overseas Partners</w:t>
      </w:r>
      <w:r>
        <w:rPr>
          <w:rFonts w:ascii="Times New Roman" w:hAnsi="Times New Roman"/>
          <w:strike/>
          <w:sz w:val="22"/>
        </w:rPr>
        <w:t>,</w:t>
      </w:r>
      <w:r>
        <w:rPr>
          <w:rFonts w:ascii="Times New Roman" w:hAnsi="Times New Roman"/>
          <w:sz w:val="22"/>
        </w:rPr>
        <w:t xml:space="preserve"> Ltd.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rFonts w:ascii="Times New Roman" w:hAnsi="Times New Roman"/>
          <w:sz w:val="22"/>
          <w:u w:val="single"/>
        </w:rPr>
        <w:t xml:space="preserve">                                                                                      </w:t>
      </w:r>
      <w:r>
        <w:rPr>
          <w:rFonts w:ascii="Times New Roman" w:hAnsi="Times New Roman"/>
          <w:sz w:val="22"/>
        </w:rPr>
        <w: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Based upon the foregoing and having regard for such legal considerations as we deem relevant, we are of opinion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1.    The Counterparty is a __________________ duly existing under the laws of ________________.</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Justified"/>
        <w:keepNext w:val="true"/>
        <w:keepLines/>
        <w:tabs>
          <w:tab w:val="clear" w:pos="720"/>
          <w:tab w:val="left" w:pos="1440" w:leader="none"/>
        </w:tabs>
        <w:bidi w:val="0"/>
        <w:spacing w:before="0" w:after="0"/>
        <w:rPr>
          <w:rFonts w:ascii="Times New Roman" w:hAnsi="Times New Roman"/>
        </w:rPr>
      </w:pPr>
      <w:r>
        <w:rPr>
          <w:rFonts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bidi w:val="0"/>
        <w:jc w:val="start"/>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t>Very truly yours</w:t>
        <w:tab/>
        <w:tab/>
        <w:tab/>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100" w:charSpace="4294959103"/>
        </w:sect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PARAGRAPH 13</w:t>
      </w:r>
    </w:p>
    <w:p>
      <w:pPr>
        <w:pStyle w:val="Normal"/>
        <w:keepNext w:val="true"/>
        <w:keepLines/>
        <w:bidi w:val="0"/>
        <w:jc w:val="center"/>
        <w:rPr>
          <w:rFonts w:ascii="Times New Roman" w:hAnsi="Times New Roman"/>
          <w:b/>
          <w:sz w:val="22"/>
        </w:rPr>
      </w:pPr>
      <w:r>
        <w:rPr>
          <w:rFonts w:ascii="Times New Roman" w:hAnsi="Times New Roman"/>
          <w:b/>
          <w:sz w:val="22"/>
        </w:rPr>
        <w:t>to the</w:t>
      </w:r>
    </w:p>
    <w:p>
      <w:pPr>
        <w:pStyle w:val="Normal"/>
        <w:keepNext w:val="true"/>
        <w:keepLines/>
        <w:bidi w:val="0"/>
        <w:jc w:val="center"/>
        <w:rPr>
          <w:rFonts w:ascii="Times New Roman" w:hAnsi="Times New Roman"/>
          <w:b/>
          <w:sz w:val="22"/>
        </w:rPr>
      </w:pPr>
      <w:r>
        <w:rPr>
          <w:rFonts w:ascii="Times New Roman" w:hAnsi="Times New Roman"/>
          <w:b/>
          <w:sz w:val="22"/>
        </w:rPr>
        <w:t>ISDA CREDIT SUPPORT ANNEX</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dated as of _________________, 2000</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caps/>
                <w:sz w:val="22"/>
              </w:rPr>
              <w:t>Catequil OVERSEAS partners</w:t>
            </w:r>
            <w:r>
              <w:rPr>
                <w:rFonts w:ascii="Times New Roman" w:hAnsi="Times New Roman"/>
                <w:b/>
                <w:caps/>
                <w:strike/>
                <w:sz w:val="22"/>
              </w:rPr>
              <w:t>,</w:t>
            </w:r>
            <w:r>
              <w:rPr>
                <w:rFonts w:ascii="Times New Roman" w:hAnsi="Times New Roman"/>
                <w:b/>
                <w:caps/>
                <w:sz w:val="22"/>
              </w:rPr>
              <w:t xml:space="preserve"> lTD</w:t>
            </w:r>
            <w:r>
              <w:rPr>
                <w:rFonts w:ascii="Times New Roman" w:hAnsi="Times New Roman"/>
                <w:b/>
                <w:sz w:val="22"/>
              </w:rPr>
              <w:t xml:space="preserve">., a limited </w:t>
            </w:r>
            <w:r>
              <w:rPr>
                <w:rFonts w:ascii="Times New Roman" w:hAnsi="Times New Roman"/>
                <w:b/>
                <w:strike/>
                <w:sz w:val="22"/>
              </w:rPr>
              <w:t>partnership</w:t>
            </w:r>
            <w:r>
              <w:rPr>
                <w:rFonts w:ascii="Times New Roman" w:hAnsi="Times New Roman"/>
                <w:b/>
                <w:sz w:val="22"/>
              </w:rPr>
              <w:t xml:space="preserve"> </w:t>
            </w:r>
            <w:r>
              <w:rPr>
                <w:rFonts w:ascii="Times New Roman" w:hAnsi="Times New Roman"/>
                <w:b/>
                <w:sz w:val="22"/>
                <w:u w:val="single"/>
              </w:rPr>
              <w:t>company</w:t>
            </w:r>
            <w:r>
              <w:rPr>
                <w:rFonts w:ascii="Times New Roman" w:hAnsi="Times New Roman"/>
                <w:b/>
                <w:sz w:val="22"/>
              </w:rPr>
              <w:t xml:space="preserve"> organized under the law of the Cayman Islands (“Party B”)</w:t>
            </w:r>
          </w:p>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Justified"/>
        <w:keepNext w:val="true"/>
        <w:keepLines/>
        <w:bidi w:val="0"/>
        <w:spacing w:before="0" w:after="0"/>
        <w:rPr>
          <w:rFonts w:ascii="Times New Roman" w:hAnsi="Times New Roman"/>
        </w:rPr>
      </w:pPr>
      <w:r>
        <w:rPr>
          <w:rFonts w:ascii="Times New Roman" w:hAnsi="Times New Roman"/>
        </w:rPr>
      </w:r>
    </w:p>
    <w:p>
      <w:pPr>
        <w:pStyle w:val="Normal"/>
        <w:keepNext w:val="true"/>
        <w:keepLines/>
        <w:bidi w:val="0"/>
        <w:jc w:val="both"/>
        <w:rPr>
          <w:rFonts w:ascii="Times New Roman" w:hAnsi="Times New Roman"/>
          <w:sz w:val="22"/>
        </w:rPr>
      </w:pPr>
      <w:r>
        <w:rPr>
          <w:rFonts w:ascii="Times New Roman" w:hAnsi="Times New Roman"/>
          <w:b/>
          <w:sz w:val="22"/>
        </w:rPr>
        <w:t>Paragraph 13.    Elections and Variables.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keepNext w:val="true"/>
        <w:keepLines/>
        <w:bidi w:val="0"/>
        <w:ind w:hanging="360" w:start="36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A:    None.</w:t>
      </w:r>
    </w:p>
    <w:p>
      <w:pPr>
        <w:pStyle w:val="Normal"/>
        <w:keepNext w:val="true"/>
        <w:keepLines/>
        <w:bidi w:val="0"/>
        <w:ind w:hanging="0" w:start="63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B:    None.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keepNext w:val="true"/>
        <w:keepLines/>
        <w:bidi w:val="0"/>
        <w:ind w:hanging="1260" w:start="144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3.</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keepNext w:val="true"/>
        <w:keepLines/>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(A)</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Cash</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(B)</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(C)</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Other:</w:t>
              <w:tab/>
              <w:t>None</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r>
    </w:tbl>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720"/>
        <w:jc w:val="start"/>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U.S. $ zero (0) and with respect to Party B, U.S. $zero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The Delivery Amount will be rounded up to the nearest integral multiple of U.S. $100,000 and the Return Amount will be rounded down to the nearest integral multiple of U.S. $100,000.</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keepNext w:val="true"/>
        <w:keepLines/>
        <w:bidi w:val="0"/>
        <w:spacing w:before="240" w:after="0"/>
        <w:ind w:hanging="0" w:start="720"/>
        <w:jc w:val="both"/>
        <w:rPr>
          <w:rFonts w:ascii="Times New Roman" w:hAnsi="Times New Roman"/>
          <w:sz w:val="22"/>
        </w:rPr>
      </w:pPr>
      <w:r>
        <w:rPr>
          <w:rFonts w:ascii="Times New Roman" w:hAnsi="Times New Roman"/>
          <w:strike/>
          <w:sz w:val="22"/>
        </w:rPr>
        <w:t>[</w:t>
      </w: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rFonts w:ascii="Times New Roman" w:hAnsi="Times New Roman"/>
          <w:strike/>
          <w:sz w:val="22"/>
        </w:rPr>
        <w:t>][Under review]</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keepNext w:val="true"/>
        <w:keepLines/>
        <w:bidi w:val="0"/>
        <w:ind w:hanging="36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keepNext w:val="true"/>
        <w:keepLines/>
        <w:bidi w:val="0"/>
        <w:ind w:hanging="0" w:start="36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11:00 a.m., New York time, on a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keepNext w:val="true"/>
        <w:keepLines/>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keepNext w:val="true"/>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keepNext w:val="true"/>
              <w:tabs>
                <w:tab w:val="clear" w:pos="720"/>
              </w:tabs>
              <w:bidi w:val="0"/>
              <w:jc w:val="center"/>
              <w:rPr/>
            </w:pPr>
            <w:r>
              <w:rPr>
                <w:rFonts w:ascii="Times New Roman" w:hAnsi="Times New Roman"/>
                <w:b/>
                <w:sz w:val="22"/>
              </w:rPr>
              <w:t>Party A</w:t>
            </w:r>
          </w:p>
        </w:tc>
        <w:tc>
          <w:tcPr>
            <w:tcW w:w="128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bl>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Local Business Day following the date on which notice of the dispute is given under Paragraph 5.</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(1) With respect to cash, the product of (I) the face amount thereof and (II) the applicable Valuation Percentage; and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arithmetic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bidi w:val="0"/>
        <w:ind w:hanging="0" w:start="54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keepNext w:val="true"/>
        <w:keepLines/>
        <w:bidi w:val="0"/>
        <w:ind w:hanging="0" w:start="90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 xml:space="preserve">(1) Party A is not a Defaulting Party and an Additional Termination Event has not occurred. </w:t>
      </w:r>
    </w:p>
    <w:p>
      <w:pPr>
        <w:pStyle w:val="BodyTextIndent"/>
        <w:keepNext w:val="true"/>
        <w:keepLines/>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(1) Party B is not a Defaulting Party and an Additional Termination Event has not occurred.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provided, </w:t>
      </w:r>
      <w:r>
        <w:rPr>
          <w:rFonts w:ascii="Times New Roman" w:hAnsi="Times New Roman"/>
          <w:sz w:val="22"/>
          <w:u w:val="single"/>
        </w:rPr>
        <w:t>that</w:t>
      </w:r>
      <w:r>
        <w:rPr>
          <w:rFonts w:ascii="Times New Roman" w:hAnsi="Times New Roman"/>
          <w:sz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Addresses for Transfers.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Other Provisions.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end="180"/>
        <w:jc w:val="center"/>
        <w:rPr>
          <w:rFonts w:ascii="Times New Roman" w:hAnsi="Times New Roman"/>
          <w:b/>
          <w:sz w:val="22"/>
        </w:rPr>
      </w:pPr>
      <w:r>
        <w:rPr>
          <w:rFonts w:ascii="Times New Roman" w:hAnsi="Times New Roman"/>
          <w:b/>
          <w:sz w:val="22"/>
          <w:u w:val="single"/>
        </w:rPr>
        <w:t>EXHIBIT A</w:t>
      </w:r>
    </w:p>
    <w:p>
      <w:pPr>
        <w:pStyle w:val="Normal"/>
        <w:keepNext w:val="true"/>
        <w:keepLines/>
        <w:bidi w:val="0"/>
        <w:ind w:end="180"/>
        <w:jc w:val="center"/>
        <w:rPr>
          <w:rFonts w:ascii="Times New Roman" w:hAnsi="Times New Roman"/>
          <w:b/>
          <w:sz w:val="22"/>
        </w:rPr>
      </w:pPr>
      <w:r>
        <w:rPr>
          <w:rFonts w:ascii="Times New Roman" w:hAnsi="Times New Roman"/>
          <w:b/>
          <w:sz w:val="22"/>
        </w:rPr>
      </w:r>
    </w:p>
    <w:p>
      <w:pPr>
        <w:pStyle w:val="Normal"/>
        <w:keepNext w:val="true"/>
        <w:keepLines/>
        <w:bidi w:val="0"/>
        <w:ind w:end="180"/>
        <w:jc w:val="center"/>
        <w:rPr>
          <w:rFonts w:ascii="Times New Roman" w:hAnsi="Times New Roman"/>
          <w:b/>
          <w:sz w:val="22"/>
        </w:rPr>
      </w:pPr>
      <w:r>
        <w:rPr>
          <w:rFonts w:ascii="Times New Roman" w:hAnsi="Times New Roman"/>
          <w:b/>
          <w:sz w:val="22"/>
        </w:rPr>
        <w:t>ENRON CORP.</w:t>
      </w:r>
    </w:p>
    <w:p>
      <w:pPr>
        <w:pStyle w:val="Normal"/>
        <w:keepNext w:val="true"/>
        <w:keepLines/>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keepNext w:val="true"/>
        <w:keepLines/>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keepNext w:val="true"/>
        <w:keepLines/>
        <w:bidi w:val="0"/>
        <w:spacing w:lineRule="exact" w:line="48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keepLines/>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Catequil OVERSEAS Partners</w:t>
      </w:r>
      <w:r>
        <w:rPr>
          <w:rFonts w:ascii="Times New Roman" w:hAnsi="Times New Roman"/>
          <w:caps/>
          <w:strike/>
          <w:sz w:val="22"/>
        </w:rPr>
        <w:t>,</w:t>
      </w:r>
      <w:r>
        <w:rPr>
          <w:rFonts w:ascii="Times New Roman" w:hAnsi="Times New Roman"/>
          <w:caps/>
          <w:sz w:val="22"/>
        </w:rPr>
        <w:t xml:space="preserve"> LTD.</w:t>
      </w:r>
      <w:r>
        <w:rPr>
          <w:rFonts w:ascii="Times New Roman" w:hAnsi="Times New Roman"/>
          <w:sz w:val="22"/>
        </w:rPr>
        <w:t xml:space="preserve">, a Cayman Islands limited </w:t>
      </w:r>
      <w:r>
        <w:rPr>
          <w:rFonts w:ascii="Times New Roman" w:hAnsi="Times New Roman"/>
          <w:strike/>
          <w:sz w:val="22"/>
        </w:rPr>
        <w:t>partnership</w:t>
      </w:r>
      <w:r>
        <w:rPr>
          <w:rFonts w:ascii="Times New Roman" w:hAnsi="Times New Roman"/>
          <w:sz w:val="22"/>
        </w:rPr>
        <w:t xml:space="preserve"> </w:t>
      </w:r>
      <w:r>
        <w:rPr>
          <w:rFonts w:ascii="Times New Roman" w:hAnsi="Times New Roman"/>
          <w:b/>
          <w:sz w:val="22"/>
          <w:u w:val="single"/>
        </w:rPr>
        <w:t>company</w:t>
      </w:r>
      <w:r>
        <w:rPr>
          <w:rFonts w:ascii="Times New Roman" w:hAnsi="Times New Roman"/>
          <w:sz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bidi w:val="0"/>
        <w:spacing w:lineRule="exact" w:line="240" w:before="240" w:after="0"/>
        <w:rPr>
          <w:rFonts w:ascii="Times New Roman" w:hAnsi="Times New Roman"/>
        </w:rPr>
      </w:pPr>
      <w:r>
        <w:rPr>
          <w:rFonts w:ascii="Times New Roman" w:hAnsi="Times New Roman"/>
        </w:rPr>
        <w:t>(b)        The aggregate amount covered by this Guaranty shall not exceed U.S. $10,000,000.</w:t>
      </w:r>
    </w:p>
    <w:p>
      <w:pPr>
        <w:pStyle w:val="BodyTextIndent3"/>
        <w:keepNext w:val="true"/>
        <w:keepLines/>
        <w:bidi w:val="0"/>
        <w:spacing w:lineRule="exact" w:line="240" w:before="240" w:after="0"/>
        <w:rPr>
          <w:rFonts w:ascii="Times New Roman" w:hAnsi="Times New Roman"/>
        </w:rPr>
      </w:pPr>
      <w:r>
        <w:rPr>
          <w:rFonts w:ascii="Times New Roman" w:hAnsi="Times New Roman"/>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bidi w:val="0"/>
        <w:spacing w:lineRule="exact" w:line="240" w:before="240" w:after="0"/>
        <w:rPr>
          <w:rFonts w:ascii="Times New Roman" w:hAnsi="Times New Roman"/>
        </w:rPr>
      </w:pPr>
      <w:r>
        <w:rPr>
          <w:rFonts w:ascii="Times New Roman" w:hAnsi="Times New Roman"/>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Catequil Overseas Partners</w:t>
            </w:r>
            <w:r>
              <w:rPr>
                <w:rFonts w:ascii="Times New Roman" w:hAnsi="Times New Roman"/>
                <w:strike/>
                <w:sz w:val="22"/>
              </w:rPr>
              <w:t>,</w:t>
            </w:r>
            <w:r>
              <w:rPr>
                <w:rFonts w:ascii="Times New Roman" w:hAnsi="Times New Roman"/>
                <w:sz w:val="22"/>
              </w:rPr>
              <w:t xml:space="preserve"> Ltd.</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c/o Catequil Asset Management, L.P.</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1400 Smith Street</w:t>
            </w:r>
          </w:p>
          <w:p>
            <w:pPr>
              <w:pStyle w:val="Normal"/>
              <w:keepNext w:val="true"/>
              <w:tabs>
                <w:tab w:val="clear" w:pos="720"/>
                <w:tab w:val="right" w:pos="2988" w:leader="none"/>
              </w:tabs>
              <w:bidi w:val="0"/>
              <w:spacing w:lineRule="atLeast" w:line="240"/>
              <w:jc w:val="start"/>
              <w:rPr/>
            </w:pPr>
            <w:r>
              <w:rPr>
                <w:rFonts w:ascii="Times New Roman" w:hAnsi="Times New Roman"/>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Header"/>
              <w:keepNext w:val="true"/>
              <w:tabs>
                <w:tab w:val="clear" w:pos="4320"/>
                <w:tab w:val="clear" w:pos="8640"/>
                <w:tab w:val="left" w:pos="3132" w:leader="none"/>
              </w:tabs>
              <w:bidi w:val="0"/>
              <w:spacing w:lineRule="atLeast" w:line="240"/>
              <w:jc w:val="start"/>
              <w:rPr>
                <w:rFonts w:ascii="Times New Roman" w:hAnsi="Times New Roman"/>
              </w:rPr>
            </w:pPr>
            <w:r>
              <w:rPr>
                <w:rFonts w:ascii="Times New Roman" w:hAnsi="Times New Roman"/>
              </w:rPr>
              <w:t>1251 Avenue of the Americas</w:t>
            </w:r>
          </w:p>
          <w:p>
            <w:pPr>
              <w:pStyle w:val="Header"/>
              <w:keepNext w:val="true"/>
              <w:tabs>
                <w:tab w:val="clear" w:pos="4320"/>
                <w:tab w:val="clear" w:pos="8640"/>
                <w:tab w:val="left" w:pos="3132" w:leader="none"/>
              </w:tabs>
              <w:bidi w:val="0"/>
              <w:spacing w:lineRule="atLeast" w:line="240"/>
              <w:jc w:val="start"/>
              <w:rPr/>
            </w:pPr>
            <w:r>
              <w:rPr>
                <w:rFonts w:ascii="Times New Roman" w:hAnsi="Times New Roman"/>
              </w:rPr>
              <w:t>New York, New York 10020</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Attn.:      James Giordano</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Fax No.: (212) 899-4205</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Justified"/>
        <w:keepNext w:val="true"/>
        <w:keepLines/>
        <w:bidi w:val="0"/>
        <w:spacing w:lineRule="atLeast" w:line="240" w:before="0" w:after="0"/>
        <w:rPr>
          <w:rFonts w:ascii="Times New Roman" w:hAnsi="Times New Roman"/>
        </w:rPr>
      </w:pPr>
      <w:r>
        <w:rPr>
          <w:rFonts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bidi w:val="0"/>
        <w:spacing w:lineRule="exact" w:line="240"/>
        <w:ind w:hanging="0" w:start="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SUBROGATION.</w:t>
      </w:r>
      <w:r>
        <w:rPr>
          <w:rFonts w:ascii="Times New Roman" w:hAnsi="Times New Roman"/>
          <w:sz w:val="22"/>
        </w:rPr>
        <w:t>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9. 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10.      </w:t>
      </w:r>
      <w:r>
        <w:rPr>
          <w:rFonts w:ascii="Times New Roman" w:hAnsi="Times New Roman"/>
          <w:sz w:val="22"/>
          <w:u w:val="single"/>
        </w:rPr>
        <w:t>DEFINITIONS.</w:t>
      </w:r>
      <w:r>
        <w:rPr>
          <w:rFonts w:ascii="Times New Roman" w:hAnsi="Times New Roman"/>
          <w:sz w:val="22"/>
        </w:rPr>
        <w:t>    Any capitalized term used herein and not otherwise defined shall have the meaning given to it in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2001, but it is effective as of the date first above written.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keepNext w:val="true"/>
        <w:keepLines/>
        <w:bidi w:val="0"/>
        <w:spacing w:lineRule="exact" w:line="240"/>
        <w:ind w:end="720"/>
        <w:jc w:val="center"/>
        <w:rPr>
          <w:rFonts w:ascii="Times New Roman" w:hAnsi="Times New Roman"/>
          <w:sz w:val="20"/>
        </w:rPr>
      </w:pPr>
      <w:r>
        <w:rPr>
          <w:rFonts w:ascii="Times New Roman" w:hAnsi="Times New Roman"/>
          <w:sz w:val="20"/>
        </w:rPr>
      </w:r>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/mnt/main-storage/datasets/enron-docs/doc/037BCTR_CATEQUIL_OVERSEAS_.RED.DOC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/mnt/main-storage/datasets/enron-docs/doc/037BCTR_CATEQUIL_OVERSEAS_.RED.DOC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/mnt/main-storage/datasets/enron-docs/doc/037BCTR_CATEQUIL_OVERSEAS_.RED.DOC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/mnt/main-storage/datasets/enron-docs/doc/037BCTR_CATEQUIL_OVERSEAS_.RED.DOC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/mnt/main-storage/datasets/enron-docs/doc/037BCTR_CATEQUIL_OVERSEAS_.RED.DOC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/mnt/main-storage/datasets/enron-docs/doc/037BCTR_CATEQUIL_OVERSEAS_.RED.DOC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10120</Words>
  <CharactersWithSpaces>57684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2001-08-22T17:32:00Z</dcterms:created>
  <dc:creator>mheard</dc:creator>
  <dc:description/>
  <dc:language>en-CA</dc:language>
  <cp:lastModifiedBy/>
  <cp:lastPrinted>2001-08-08T10:51:00Z</cp:lastPrinted>
  <dcterms:modified xsi:type="dcterms:W3CDTF">2001-08-23T09:08:00Z</dcterms:modified>
  <cp:revision>5</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