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
        <w:jc w:val="end"/>
        <w:rPr>
          <w:u w:val="none"/>
        </w:rPr>
      </w:pPr>
      <w:r>
        <w:rPr>
          <w:u w:val="none"/>
        </w:rPr>
        <w:t>CWT DRAFT</w:t>
        <w:br/>
        <w:t>May 17, 1999</w:t>
      </w:r>
    </w:p>
    <w:p>
      <w:pPr>
        <w:pStyle w:val="center"/>
        <w:rPr>
          <w:u w:val="none"/>
        </w:rPr>
      </w:pPr>
      <w:r>
        <w:rPr>
          <w:u w:val="none"/>
        </w:rPr>
      </w:r>
    </w:p>
    <w:p>
      <w:pPr>
        <w:pStyle w:val="center"/>
        <w:rPr/>
      </w:pPr>
      <w:r>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b/>
        </w:rPr>
      </w:pPr>
      <w:r>
        <w:rPr>
          <w:b/>
        </w:rPr>
        <w:t>of Annex A</w:t>
      </w:r>
    </w:p>
    <w:p>
      <w:pPr>
        <w:pStyle w:val="Normal"/>
        <w:jc w:val="center"/>
        <w:rPr/>
      </w:pPr>
      <w:r>
        <w:rPr/>
      </w:r>
    </w:p>
    <w:p>
      <w:pPr>
        <w:pStyle w:val="Normal"/>
        <w:jc w:val="center"/>
        <w:rPr>
          <w:b/>
        </w:rPr>
      </w:pPr>
      <w:r>
        <w:rPr>
          <w:b/>
        </w:rPr>
        <w:t>SURETY BOND PROVISIONS</w:t>
      </w:r>
    </w:p>
    <w:p>
      <w:pPr>
        <w:pStyle w:val="Normal"/>
        <w:jc w:val="both"/>
        <w:rPr/>
      </w:pPr>
      <w:r>
        <w:rPr/>
      </w:r>
    </w:p>
    <w:p>
      <w:pPr>
        <w:pStyle w:val="Normal"/>
        <w:jc w:val="both"/>
        <w:rPr/>
      </w:pPr>
      <w:r>
        <w:rPr/>
        <w:t xml:space="preserve">I.  </w:t>
      </w:r>
      <w:r>
        <w:rPr>
          <w:b/>
          <w:u w:val="single"/>
        </w:rPr>
        <w:t>Surety Bond</w:t>
      </w:r>
      <w:r>
        <w:rPr/>
        <w:t>.  Posted Credit Support provided by one party (“X”) for the benefit of the other (“Y”) in the form of a Surety Bond shall be subject to the following provisions.</w:t>
      </w:r>
    </w:p>
    <w:p>
      <w:pPr>
        <w:pStyle w:val="Normal"/>
        <w:jc w:val="both"/>
        <w:rPr/>
      </w:pPr>
      <w:r>
        <w:rPr/>
      </w:r>
    </w:p>
    <w:p>
      <w:pPr>
        <w:pStyle w:val="Normal"/>
        <w:ind w:start="180" w:end="0"/>
        <w:jc w:val="both"/>
        <w:rPr/>
      </w:pPr>
      <w:r>
        <w:rPr/>
        <w:t>(a)  An original of such Surety Bond shall be delivered by X to such address as Y shall specify and shall be maintained for the benefit of Y or its designee.  X or the provider of the Surety Bond shall (i) renew or cause the renewal of each outstanding Surety Bond on a timely basis as provided in the relevant Surety Bond, (ii) if the provider of an outstanding Surety Bond has indicated its intent not to renew such Surety Bond, provide a substitute Surety Bond at least twenty (20) Local Business Days prior to the expiration of the outstanding Surety Bond, and (iii) if the provider of a Surety Bond shall fail to perform its obligations under an outstanding Surety Bond, provide for the benefit of Y a substitute Surety Bond that is provided by a provider acceptable to Y, other than the provider failing to perform its obligations under the outstanding Surety Bond, within two (2) Local Business Days after such refusal.</w:t>
      </w:r>
    </w:p>
    <w:p>
      <w:pPr>
        <w:pStyle w:val="Normal"/>
        <w:ind w:start="180" w:end="0"/>
        <w:jc w:val="both"/>
        <w:rPr/>
      </w:pPr>
      <w:r>
        <w:rPr/>
      </w:r>
    </w:p>
    <w:p>
      <w:pPr>
        <w:pStyle w:val="Normal"/>
        <w:ind w:start="180" w:end="0"/>
        <w:jc w:val="both"/>
        <w:rPr/>
      </w:pPr>
      <w:r>
        <w:rPr/>
        <w:t xml:space="preserve">(b)  Upon the occurrence of a Surety Bond Default, X agrees to deliver a substitute Surety Bond to Y on or before the second Local Business Day after written demand by Y (or on or before the fifth Local Business Day without the requirement for any demand if only clause (i) under the definition of Surety Bond Default applies). </w:t>
      </w:r>
      <w:r>
        <w:rPr>
          <w:b/>
        </w:rPr>
        <w:t xml:space="preserve"> “</w:t>
      </w:r>
      <w:r>
        <w:rPr>
          <w:b/>
          <w:u w:val="single"/>
        </w:rPr>
        <w:t>Surety Bond Default</w:t>
      </w:r>
      <w:r>
        <w:rPr>
          <w:b/>
        </w:rPr>
        <w:t>”</w:t>
      </w:r>
      <w:r>
        <w:rPr/>
        <w:t xml:space="preserve"> shall mean with respect to an outstanding Surety Bond, the occurrence of any of the following events:  (i) the provider of such Surety Bond shall fail to maintain a Credit Rating of at least “A-” by S&amp;P or “A3” by Moody’s; (ii) the provider of the Surety Bond shall fail to comply with or perform its obligations under such Surety Bond if such failure shall be continuing after the lapse of any applicable grace period; (iii) the provider of such Surety Bond shall disaffirm, disclaim, repudiate or reject, in whole or in part, or challenge the validity of, such Surety Bond; (iv) such Surety Bond shall expire or terminate, or shall fail or cease to be in full force and effect at any time during the term of this Agreement; or (v) any event analogous to an event specified in Section 5(a)(vii) of this Agreement shall occur with respect to the provider of such Surety Bond; </w:t>
      </w:r>
      <w:r>
        <w:rPr>
          <w:u w:val="single"/>
        </w:rPr>
        <w:t>provided, however</w:t>
      </w:r>
      <w:r>
        <w:rPr/>
        <w:t>, that no Surety Bond Default shall occur in any event with respect to a Surety Bond after the time such Surety Bond is required to be canceled in accordance with the terms of this Agreement.</w:t>
      </w:r>
    </w:p>
    <w:p>
      <w:pPr>
        <w:pStyle w:val="Normal"/>
        <w:ind w:start="180" w:end="0"/>
        <w:jc w:val="both"/>
        <w:rPr/>
      </w:pPr>
      <w:r>
        <w:rPr/>
      </w:r>
    </w:p>
    <w:p>
      <w:pPr>
        <w:pStyle w:val="Normal"/>
        <w:ind w:start="180" w:end="0"/>
        <w:jc w:val="both"/>
        <w:rPr/>
      </w:pPr>
      <w:r>
        <w:rPr/>
        <w:t>(c)  As one method of providing additional Posted Credit Support, X may increase the amount of an outstanding Surety Bond or establish one or more additional Surety Bonds.</w:t>
      </w:r>
    </w:p>
    <w:p>
      <w:pPr>
        <w:pStyle w:val="Normal"/>
        <w:ind w:start="180" w:end="0"/>
        <w:jc w:val="both"/>
        <w:rPr/>
      </w:pPr>
      <w:r>
        <w:rPr/>
      </w:r>
    </w:p>
    <w:p>
      <w:pPr>
        <w:pStyle w:val="Normal"/>
        <w:ind w:start="180" w:end="0"/>
        <w:jc w:val="both"/>
        <w:rPr/>
      </w:pPr>
      <w:r>
        <w:rPr/>
        <w:t>(d)  (i)  A Surety Bond shall provide that Y may exercise the rights of a beneficiary with respect to the Surety Bond in an amount that is equal to all amounts that are due and owing from X but have not been paid to Y within the time allowed for such payments under this Agreement.</w:t>
      </w:r>
    </w:p>
    <w:p>
      <w:pPr>
        <w:pStyle w:val="Normal"/>
        <w:ind w:start="540" w:end="0"/>
        <w:jc w:val="both"/>
        <w:rPr/>
      </w:pPr>
      <w:r>
        <w:rPr/>
      </w:r>
    </w:p>
    <w:p>
      <w:pPr>
        <w:pStyle w:val="Normal"/>
        <w:ind w:start="540" w:end="0"/>
        <w:jc w:val="both"/>
        <w:rPr/>
      </w:pPr>
      <w:r>
        <w:rPr/>
        <w:t>(ii)  If X shall fail to renew, substitute, or sufficiently increase the amount of an outstanding Surety Bond (as the case may be), or establish one or more additional Surety Bonds, or otherwise provide sufficient Posted Credit Support, then Y may realize on the entire, unpaid portion of any outstanding Surety Bond upon submission to the provider of such Surety Bond of such documentation as the provider shall reasonably request.  Cash proceeds received from realizing upon the Surety Bond shall be deemed Eligible Credit Support and shall be maintained in accordance with this Annex.  Notwithstanding Y’s receipt of Cash under the Surety Bond, X shall remain liable to Y for any failure to Transfer sufficient Eligible Credit Support to Y in accordance with the terms of this Annex.</w:t>
      </w:r>
    </w:p>
    <w:p>
      <w:pPr>
        <w:pStyle w:val="Normal"/>
        <w:ind w:start="180" w:end="0"/>
        <w:jc w:val="both"/>
        <w:rPr/>
      </w:pPr>
      <w:r>
        <w:rPr/>
      </w:r>
    </w:p>
    <w:p>
      <w:pPr>
        <w:pStyle w:val="Normal"/>
        <w:ind w:start="180" w:end="0"/>
        <w:jc w:val="both"/>
        <w:rPr/>
      </w:pPr>
      <w:r>
        <w:rPr/>
        <w:t>(e)  If a party’s Credit Support Provider shall furnish a Surety Bond hereunder, the amount otherwise required under such Surety Bond may at the option of such Credit Support Provider be reduced by the amount of any Surety Bond established by such party (but only for such time as such party’s Surety Bond shall be in effect).  In the event a party shall be required to furnish a Surety Bond hereunder, the amount otherwise required under such Surety Bond may at the option of such party be reduced by the amount of any Surety Bond established by such party’s Credit Support Provider (but only for such time as such Credit Support Provider’s Surety Bond shall be in effect).</w:t>
      </w:r>
    </w:p>
    <w:p>
      <w:pPr>
        <w:pStyle w:val="Normal"/>
        <w:ind w:start="180" w:end="0"/>
        <w:jc w:val="both"/>
        <w:rPr/>
      </w:pPr>
      <w:r>
        <w:rPr/>
      </w:r>
    </w:p>
    <w:p>
      <w:pPr>
        <w:pStyle w:val="Normal"/>
        <w:ind w:start="180" w:end="0"/>
        <w:jc w:val="both"/>
        <w:rPr/>
      </w:pPr>
      <w:r>
        <w:rPr/>
        <w:t>(f)  Upon or at any time after the occurrence or deemed occurrence of an Early Termination Date as a result of an Event of Default or a Termination Event and the failure of X to make all payments due and owing to Y in accordance with the terms of this Agreement, Y may realize on any outstanding Surety Bond in an amount equal to such amounts owing to it.  X shall remain liable for any amounts owing to Y and remaining unpaid after the application of the amounts so realized on by Y.</w:t>
      </w:r>
    </w:p>
    <w:p>
      <w:pPr>
        <w:pStyle w:val="Normal"/>
        <w:ind w:start="180" w:end="0"/>
        <w:jc w:val="both"/>
        <w:rPr/>
      </w:pPr>
      <w:r>
        <w:rPr/>
      </w:r>
    </w:p>
    <w:p>
      <w:pPr>
        <w:pStyle w:val="Normal"/>
        <w:ind w:start="180" w:end="0"/>
        <w:jc w:val="both"/>
        <w:rPr/>
      </w:pPr>
      <w:r>
        <w:rPr/>
        <w:t xml:space="preserve">(g)  The provisions of this </w:t>
      </w:r>
      <w:r>
        <w:rPr>
          <w:u w:val="single"/>
        </w:rPr>
        <w:t>Exhibit A</w:t>
      </w:r>
      <w:r>
        <w:rPr/>
        <w:t xml:space="preserve"> shall constitute agreements for all purposes of this Agreement and this Annex, including Section 5(a)(iii) of this Agreement.</w:t>
      </w:r>
    </w:p>
    <w:p>
      <w:pPr>
        <w:pStyle w:val="Header"/>
        <w:rPr/>
      </w:pPr>
      <w:r>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CDOCsFooter"/>
      </w:rPr>
      <w:t>CWT\NYLIB1\371187.1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character" w:styleId="PCDOCsFooter">
    <w:name w:val="PCDOCs Footer"/>
    <w:basedOn w:val="DefaultParagraphFont"/>
    <w:qFormat/>
    <w:rPr>
      <w:b w:val="false"/>
      <w:i w:val="false"/>
      <w:caps w:val="false"/>
      <w:smallCaps w:val="false"/>
      <w:strike w:val="false"/>
      <w:dstrike w:val="false"/>
      <w:vanish w:val="false"/>
      <w:color w:val="0000FF"/>
      <w:spacing w:val="0"/>
      <w:position w:val="0"/>
      <w:sz w:val="16"/>
      <w:sz w:val="16"/>
      <w:u w:val="none"/>
      <w:vertAlign w:val="baseline"/>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1999-05-17T13:35:00Z</dcterms:created>
  <dc:creator>mheard</dc:creator>
  <dc:description/>
  <dc:language>en-CA</dc:language>
  <cp:lastModifiedBy>Catherine Gavin</cp:lastModifiedBy>
  <cp:lastPrinted>1999-05-17T17:08:00Z</cp:lastPrinted>
  <dcterms:modified xsi:type="dcterms:W3CDTF">1999-05-17T18:52:00Z</dcterms:modified>
  <cp:revision>4</cp:revision>
  <dc:subject/>
  <dc:title>EXHIBIT A</dc:title>
</cp:coreProperties>
</file>