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08/06/2001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PURSUE ENERGY CORPORATION, a corporation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________________.</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Pursue Energy Corporation</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1601 Elm Street, Suite 3900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Dallas, Texas  75201-7201</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Ms. Liz Luthans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(214) 880-7101</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(214) 880-8432</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PURSUE ENERGY CORPORATION</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PURSUE ENERGY CORPORATION, a corporation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$500,000;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Funded Debt to Net Worth is more than 1 to 1, or (ii) its Net Worth falls below U.S. $18,000,000, or (iii)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PURSUE ENERGY CORPORATION, a </w:t>
      </w:r>
      <w:r>
        <w:rPr>
          <w:sz w:val="22"/>
          <w:szCs w:val="22"/>
          <w:u w:val="single"/>
        </w:rPr>
        <w:tab/>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Pursue Energy Corporation</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1601 Elm Street, Suite 3900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Dallas, Texas  75201-7201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Ms. Liz Luthans</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(214) 880-7101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/mnt/main-storage/datasets/enron-docs/doc/036ctr_pursue_.doc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/mnt/main-storage/datasets/enron-docs/doc/036ctr_pursue_.doc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/mnt/main-storage/datasets/enron-docs/doc/036ctr_pursue_.doc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/mnt/main-storage/datasets/enron-docs/doc/036ctr_pursue_.doc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2001-08-06T13:04:00Z</dcterms:created>
  <dc:creator>mheard</dc:creator>
  <dc:description/>
  <dc:language>en-CA</dc:language>
  <cp:lastModifiedBy>mheard</cp:lastModifiedBy>
  <cp:lastPrinted>2001-08-06T11:12:00Z</cp:lastPrinted>
  <dcterms:modified xsi:type="dcterms:W3CDTF">2001-08-06T13:42:00Z</dcterms:modified>
  <cp:revision>7</cp:revision>
  <dc:subject/>
  <dc:title>ISDA Multicurrency Agreement</dc:title>
</cp:coreProperties>
</file>