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07/20/2001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napToGrid w:val="false"/>
              <w:jc w:val="center"/>
              <w:rPr>
                <w:b/>
                <w:bCs/>
                <w:sz w:val="22"/>
                <w:szCs w:val="22"/>
              </w:rPr>
            </w:pPr>
            <w:r>
              <w:rPr>
                <w:b/>
                <w:bCs/>
                <w:sz w:val="22"/>
                <w:szCs w:val="22"/>
              </w:rPr>
            </w:r>
          </w:p>
          <w:p>
            <w:pPr>
              <w:pStyle w:val="Normal"/>
              <w:tabs>
                <w:tab w:val="clear" w:pos="720"/>
                <w:tab w:val="center" w:pos="5760" w:leader="none"/>
              </w:tabs>
              <w:jc w:val="center"/>
              <w:rPr>
                <w:b/>
                <w:bCs/>
                <w:sz w:val="22"/>
                <w:szCs w:val="22"/>
              </w:rPr>
            </w:pPr>
            <w:r>
              <w:rPr>
                <w:b/>
                <w:bCs/>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CANADIAN HUNTER RESOURCES, a limited partnership organized under the law of the Province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with respect to Party B, Cdn. $10,000,000 (or its equivalent in another currency)</w:t>
      </w:r>
      <w:r>
        <w:rPr>
          <w:color w:val="000000"/>
          <w:sz w:val="22"/>
          <w:szCs w:val="22"/>
        </w:rPr>
        <w:t xml:space="preserve">; and with respect to Canadian Hunter Exploration Ltd., Cdn. $10,000,000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720" w:end="720"/>
        <w:jc w:val="both"/>
        <w:rPr>
          <w:sz w:val="22"/>
          <w:szCs w:val="22"/>
        </w:rPr>
      </w:pPr>
      <w:r>
        <w:rPr>
          <w:sz w:val="22"/>
          <w:szCs w:val="22"/>
        </w:rPr>
        <w:t>For the purpose of Section 3(e), Party A and Party B make the following representations:</w:t>
      </w:r>
    </w:p>
    <w:p>
      <w:pPr>
        <w:pStyle w:val="Normal"/>
        <w:spacing w:lineRule="exact" w:line="240" w:before="240" w:after="0"/>
        <w:ind w:start="720" w:end="720"/>
        <w:jc w:val="both"/>
        <w:rPr>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2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2 above</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Canadian Hunter Exploration Ltd.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Canadian Hunter Exploration Ltd.</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Canadian Hunter Exploration Ltd.</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Canadian Hunter Exploration Ltd.</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sz w:val="22"/>
                <w:szCs w:val="22"/>
              </w:rPr>
            </w:pPr>
            <w:r>
              <w:rPr>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400-3rd Avenue, Suite 3500</w:t>
            </w:r>
          </w:p>
          <w:p>
            <w:pPr>
              <w:pStyle w:val="Normal"/>
              <w:tabs>
                <w:tab w:val="clear" w:pos="720"/>
                <w:tab w:val="left" w:pos="4230" w:leader="none"/>
                <w:tab w:val="left" w:pos="9360" w:leader="none"/>
              </w:tabs>
              <w:spacing w:lineRule="exact" w:line="240"/>
              <w:jc w:val="both"/>
              <w:rPr>
                <w:sz w:val="22"/>
                <w:szCs w:val="22"/>
              </w:rPr>
            </w:pPr>
            <w:r>
              <w:rPr>
                <w:sz w:val="22"/>
                <w:szCs w:val="22"/>
              </w:rPr>
              <w:t>Calgary, Alberta T2P 4H2</w:t>
            </w:r>
          </w:p>
          <w:p>
            <w:pPr>
              <w:pStyle w:val="Normal"/>
              <w:tabs>
                <w:tab w:val="clear" w:pos="720"/>
                <w:tab w:val="left" w:pos="4230" w:leader="none"/>
                <w:tab w:val="left" w:pos="9360" w:leader="none"/>
              </w:tabs>
              <w:spacing w:lineRule="exact" w:line="240"/>
              <w:jc w:val="both"/>
              <w:rPr>
                <w:sz w:val="22"/>
                <w:szCs w:val="22"/>
              </w:rPr>
            </w:pPr>
            <w:r>
              <w:rPr>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(403) 974-6706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Canadian Hunter Resources</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Province of Alberta and the substantive federal laws of Canada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its Corporate Secretary having an office in Calgary, Alberta on the date of this Agreement at 400-3rd Avenue, Suite 3500, Calgary, Alberta T2P 4H2; Party B appoints as its Process Agent, </w:t>
      </w:r>
      <w:r>
        <w:rPr>
          <w:sz w:val="22"/>
          <w:szCs w:val="22"/>
          <w:u w:val="single"/>
        </w:rPr>
        <w:t xml:space="preserve">                       ________                </w:t>
      </w:r>
      <w:r>
        <w:rPr>
          <w:sz w:val="22"/>
          <w:szCs w:val="22"/>
        </w:rPr>
        <w:t xml:space="preserve">, having an office in </w:t>
      </w:r>
      <w:r>
        <w:rPr>
          <w:sz w:val="22"/>
          <w:szCs w:val="22"/>
          <w:u w:val="single"/>
        </w:rPr>
        <w:t xml:space="preserve">                    _______           </w:t>
      </w:r>
      <w:r>
        <w:rPr>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sz w:val="22"/>
          <w:szCs w:val="22"/>
        </w:rPr>
        <w:t>(h)</w:t>
        <w:tab/>
      </w:r>
      <w:r>
        <w:rPr>
          <w:b/>
          <w:bCs/>
          <w:sz w:val="22"/>
          <w:szCs w:val="22"/>
        </w:rPr>
        <w:t>Canadian Securities Matters.</w:t>
      </w:r>
      <w:r>
        <w:rPr>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Maximum Rate; Disclosure, etc.</w:t>
      </w:r>
      <w:r>
        <w:rPr>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sz w:val="22"/>
                <w:szCs w:val="22"/>
              </w:rPr>
            </w:pPr>
            <w:r>
              <w:rPr>
                <w:b/>
                <w:bCs/>
                <w:sz w:val="22"/>
                <w:szCs w:val="22"/>
              </w:rPr>
              <w:t>ENRON CANADA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CANADIAN HUNTER RESOURCES,</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By:</w:t>
              <w:tab/>
              <w:t>Canadian Hunter Exploration Ltd.,</w:t>
            </w:r>
          </w:p>
          <w:p>
            <w:pPr>
              <w:pStyle w:val="Normal"/>
              <w:keepNext w:val="true"/>
              <w:spacing w:lineRule="exact" w:line="240"/>
              <w:jc w:val="both"/>
              <w:rPr>
                <w:sz w:val="22"/>
                <w:szCs w:val="22"/>
              </w:rPr>
            </w:pPr>
            <w:r>
              <w:rPr>
                <w:b/>
                <w:bCs/>
                <w:sz w:val="22"/>
                <w:szCs w:val="22"/>
              </w:rPr>
              <w:tab/>
              <w:t>its Managing Partner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ab/>
              <w:t>By:</w:t>
            </w:r>
            <w:r>
              <w:rPr>
                <w:sz w:val="22"/>
                <w:szCs w:val="22"/>
                <w:u w:val="single"/>
              </w:rPr>
              <w:tab/>
              <w:tab/>
              <w:tab/>
              <w:tab/>
              <w:tab/>
            </w:r>
          </w:p>
          <w:p>
            <w:pPr>
              <w:pStyle w:val="Normal"/>
              <w:keepNext w:val="true"/>
              <w:spacing w:lineRule="exact" w:line="240"/>
              <w:jc w:val="both"/>
              <w:rPr>
                <w:sz w:val="22"/>
                <w:szCs w:val="22"/>
              </w:rPr>
            </w:pPr>
            <w:r>
              <w:rPr>
                <w:sz w:val="22"/>
                <w:szCs w:val="22"/>
              </w:rPr>
              <w:tab/>
              <w:t>Name:</w:t>
            </w:r>
            <w:r>
              <w:rPr>
                <w:sz w:val="22"/>
                <w:szCs w:val="22"/>
                <w:u w:val="single"/>
              </w:rPr>
              <w:tab/>
              <w:tab/>
              <w:tab/>
              <w:tab/>
              <w:tab/>
            </w:r>
          </w:p>
          <w:p>
            <w:pPr>
              <w:pStyle w:val="Normal"/>
              <w:keepNext w:val="true"/>
              <w:spacing w:lineRule="exact" w:line="240"/>
              <w:jc w:val="both"/>
              <w:rPr/>
            </w:pPr>
            <w:r>
              <w:rPr>
                <w:sz w:val="22"/>
                <w:szCs w:val="22"/>
              </w:rPr>
              <w:tab/>
              <w:t>Title:</w:t>
            </w:r>
            <w:r>
              <w:rPr>
                <w:sz w:val="22"/>
                <w:szCs w:val="22"/>
                <w:u w:val="single"/>
              </w:rPr>
              <w:tab/>
              <w:tab/>
              <w:tab/>
              <w:tab/>
              <w:tab/>
            </w:r>
          </w:p>
          <w:p>
            <w:pPr>
              <w:pStyle w:val="Normal"/>
              <w:keepNext w:val="true"/>
              <w:spacing w:lineRule="exact" w:line="240"/>
              <w:jc w:val="both"/>
              <w:rPr>
                <w:sz w:val="22"/>
                <w:szCs w:val="22"/>
              </w:rPr>
            </w:pPr>
            <w:r>
              <w:rPr>
                <w:sz w:val="22"/>
                <w:szCs w:val="22"/>
              </w:rPr>
              <w:tab/>
              <w:t>Date:</w:t>
            </w:r>
            <w:r>
              <w:rPr>
                <w:sz w:val="22"/>
                <w:szCs w:val="22"/>
                <w:u w:val="single"/>
              </w:rPr>
              <w:tab/>
              <w:tab/>
              <w:tab/>
              <w:tab/>
              <w:tab/>
            </w:r>
          </w:p>
        </w:tc>
      </w:tr>
      <w:tr>
        <w:trPr/>
        <w:tc>
          <w:tcPr>
            <w:tcW w:w="4788" w:type="dxa"/>
            <w:tcBorders/>
          </w:tcPr>
          <w:p>
            <w:pPr>
              <w:pStyle w:val="Normal"/>
              <w:keepNext w:val="true"/>
              <w:snapToGrid w:val="false"/>
              <w:spacing w:lineRule="exact" w:line="240"/>
              <w:jc w:val="both"/>
              <w:rPr>
                <w:b/>
                <w:bCs/>
                <w:sz w:val="22"/>
                <w:szCs w:val="22"/>
              </w:rPr>
            </w:pPr>
            <w:r>
              <w:rPr>
                <w:b/>
                <w:bCs/>
                <w:sz w:val="22"/>
                <w:szCs w:val="22"/>
              </w:rPr>
            </w:r>
          </w:p>
        </w:tc>
        <w:tc>
          <w:tcPr>
            <w:tcW w:w="4788" w:type="dxa"/>
            <w:tcBorders/>
          </w:tcPr>
          <w:p>
            <w:pPr>
              <w:pStyle w:val="Normal"/>
              <w:keepNext w:val="true"/>
              <w:snapToGrid w:val="false"/>
              <w:spacing w:lineRule="exact" w:line="240"/>
              <w:jc w:val="both"/>
              <w:rPr>
                <w:b/>
                <w:bCs/>
                <w:sz w:val="22"/>
                <w:szCs w:val="22"/>
              </w:rPr>
            </w:pPr>
            <w:r>
              <w:rPr>
                <w:b/>
                <w:bCs/>
                <w:sz w:val="22"/>
                <w:szCs w:val="22"/>
              </w:rPr>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napToGrid w:val="false"/>
              <w:spacing w:lineRule="exact" w:line="240"/>
              <w:jc w:val="both"/>
              <w:rPr>
                <w:sz w:val="22"/>
                <w:szCs w:val="22"/>
              </w:rPr>
            </w:pPr>
            <w:r>
              <w:rPr>
                <w:sz w:val="22"/>
                <w:szCs w:val="22"/>
              </w:rPr>
            </w:r>
          </w:p>
          <w:p>
            <w:pPr>
              <w:pStyle w:val="Normal"/>
              <w:spacing w:lineRule="exact" w:line="240"/>
              <w:jc w:val="both"/>
              <w:rPr/>
            </w:pPr>
            <w:r>
              <w:rPr>
                <w:sz w:val="22"/>
                <w:szCs w:val="22"/>
              </w:rPr>
              <w:tab/>
              <w:t>By:</w:t>
            </w:r>
            <w:r>
              <w:rPr>
                <w:sz w:val="22"/>
                <w:szCs w:val="22"/>
                <w:u w:val="single"/>
              </w:rPr>
              <w:tab/>
              <w:tab/>
              <w:tab/>
              <w:tab/>
              <w:tab/>
            </w:r>
          </w:p>
          <w:p>
            <w:pPr>
              <w:pStyle w:val="Normal"/>
              <w:spacing w:lineRule="exact" w:line="240"/>
              <w:jc w:val="both"/>
              <w:rPr>
                <w:sz w:val="22"/>
                <w:szCs w:val="22"/>
              </w:rPr>
            </w:pPr>
            <w:r>
              <w:rPr>
                <w:sz w:val="22"/>
                <w:szCs w:val="22"/>
              </w:rPr>
              <w:tab/>
              <w:t>Name:</w:t>
            </w:r>
            <w:r>
              <w:rPr>
                <w:sz w:val="22"/>
                <w:szCs w:val="22"/>
                <w:u w:val="single"/>
              </w:rPr>
              <w:tab/>
              <w:tab/>
              <w:tab/>
              <w:tab/>
              <w:tab/>
            </w:r>
          </w:p>
          <w:p>
            <w:pPr>
              <w:pStyle w:val="Normal"/>
              <w:spacing w:lineRule="exact" w:line="240"/>
              <w:jc w:val="both"/>
              <w:rPr/>
            </w:pPr>
            <w:r>
              <w:rPr>
                <w:sz w:val="22"/>
                <w:szCs w:val="22"/>
              </w:rPr>
              <w:tab/>
              <w:t>Title:</w:t>
            </w:r>
            <w:r>
              <w:rPr>
                <w:sz w:val="22"/>
                <w:szCs w:val="22"/>
                <w:u w:val="single"/>
              </w:rPr>
              <w:tab/>
              <w:tab/>
              <w:tab/>
              <w:tab/>
              <w:tab/>
            </w:r>
          </w:p>
          <w:p>
            <w:pPr>
              <w:pStyle w:val="Normal"/>
              <w:spacing w:lineRule="exact" w:line="240"/>
              <w:jc w:val="both"/>
              <w:rPr>
                <w:sz w:val="22"/>
                <w:szCs w:val="22"/>
              </w:rPr>
            </w:pPr>
            <w:r>
              <w:rPr>
                <w:sz w:val="22"/>
                <w:szCs w:val="22"/>
              </w:rPr>
              <w:tab/>
              <w:t>Date:</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napToGrid w:val="false"/>
              <w:jc w:val="center"/>
              <w:rPr>
                <w:b/>
                <w:bCs/>
                <w:sz w:val="22"/>
                <w:szCs w:val="22"/>
              </w:rPr>
            </w:pPr>
            <w:r>
              <w:rPr>
                <w:b/>
                <w:bCs/>
                <w:sz w:val="22"/>
                <w:szCs w:val="22"/>
              </w:rPr>
            </w:r>
          </w:p>
          <w:p>
            <w:pPr>
              <w:pStyle w:val="Normal"/>
              <w:tabs>
                <w:tab w:val="clear" w:pos="720"/>
                <w:tab w:val="center" w:pos="5760" w:leader="none"/>
              </w:tabs>
              <w:jc w:val="center"/>
              <w:rPr>
                <w:b/>
                <w:bCs/>
                <w:sz w:val="22"/>
                <w:szCs w:val="22"/>
              </w:rPr>
            </w:pPr>
            <w:r>
              <w:rPr>
                <w:b/>
                <w:bCs/>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CANADIAN HUNTER RESOURCES, a limited partnership organized under the law of the Province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Collateral 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sz w:val="22"/>
          <w:szCs w:val="22"/>
        </w:rPr>
      </w:pPr>
      <w:r>
        <w:rPr>
          <w:color w:val="000000"/>
          <w:sz w:val="22"/>
          <w:szCs w:val="22"/>
        </w:rPr>
        <w:t xml:space="preserve">(B)  </w:t>
      </w:r>
      <w:r>
        <w:rPr>
          <w:b/>
          <w:bCs/>
          <w:color w:val="000000"/>
          <w:sz w:val="22"/>
          <w:szCs w:val="22"/>
        </w:rPr>
        <w:t>“Party A Collateral Threshold”</w:t>
      </w:r>
      <w:r>
        <w:rPr>
          <w:color w:val="000000"/>
          <w:sz w:val="22"/>
          <w:szCs w:val="22"/>
        </w:rPr>
        <w:t xml:space="preserve"> means the amount set forth opposite the Credit Rating applicable to Party A’s Credit Support Provider on the relevant date of determination:</w:t>
      </w:r>
    </w:p>
    <w:p>
      <w:pPr>
        <w:pStyle w:val="Normal"/>
        <w:keepNext w:val="true"/>
        <w:ind w:hanging="720" w:start="2160" w:end="0"/>
        <w:jc w:val="both"/>
        <w:rPr>
          <w:sz w:val="22"/>
          <w:szCs w:val="22"/>
        </w:rPr>
      </w:pPr>
      <w:r>
        <w:rPr>
          <w:sz w:val="22"/>
          <w:szCs w:val="22"/>
        </w:rPr>
      </w:r>
    </w:p>
    <w:tbl>
      <w:tblPr>
        <w:tblW w:w="6480" w:type="dxa"/>
        <w:jc w:val="start"/>
        <w:tblInd w:w="1098" w:type="dxa"/>
        <w:tblLayout w:type="fixed"/>
        <w:tblCellMar>
          <w:top w:w="0" w:type="dxa"/>
          <w:start w:w="108" w:type="dxa"/>
          <w:bottom w:w="0" w:type="dxa"/>
          <w:end w:w="108" w:type="dxa"/>
        </w:tblCellMar>
      </w:tblPr>
      <w:tblGrid>
        <w:gridCol w:w="2520"/>
        <w:gridCol w:w="1800"/>
        <w:gridCol w:w="2160"/>
      </w:tblGrid>
      <w:tr>
        <w:trPr/>
        <w:tc>
          <w:tcPr>
            <w:tcW w:w="2520" w:type="dxa"/>
            <w:tcBorders/>
          </w:tcPr>
          <w:p>
            <w:pPr>
              <w:pStyle w:val="Normal"/>
              <w:keepNext w:val="true"/>
              <w:rPr>
                <w:sz w:val="22"/>
                <w:szCs w:val="22"/>
              </w:rPr>
            </w:pPr>
            <w:r>
              <w:rPr>
                <w:b/>
                <w:bCs/>
                <w:sz w:val="22"/>
                <w:szCs w:val="22"/>
                <w:u w:val="single"/>
              </w:rPr>
              <w:t>COLLATERAL THRESHOLD</w:t>
            </w:r>
          </w:p>
        </w:tc>
        <w:tc>
          <w:tcPr>
            <w:tcW w:w="1800" w:type="dxa"/>
            <w:tcBorders/>
          </w:tcPr>
          <w:p>
            <w:pPr>
              <w:pStyle w:val="BodyTextIndent2"/>
              <w:keepNext w:val="true"/>
              <w:ind w:hanging="0" w:end="0"/>
              <w:jc w:val="start"/>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2160"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520" w:type="dxa"/>
            <w:tcBorders/>
          </w:tcPr>
          <w:p>
            <w:pPr>
              <w:pStyle w:val="Normal"/>
              <w:keepNext w:val="true"/>
              <w:rPr>
                <w:sz w:val="22"/>
                <w:szCs w:val="22"/>
              </w:rPr>
            </w:pPr>
            <w:r>
              <w:rPr>
                <w:sz w:val="22"/>
                <w:szCs w:val="22"/>
              </w:rPr>
              <w:t>U.S. $ 25,000,000</w:t>
            </w:r>
          </w:p>
        </w:tc>
        <w:tc>
          <w:tcPr>
            <w:tcW w:w="1800" w:type="dxa"/>
            <w:tcBorders/>
          </w:tcPr>
          <w:p>
            <w:pPr>
              <w:pStyle w:val="Normal"/>
              <w:keepNext w:val="true"/>
              <w:ind w:start="-18" w:end="0"/>
              <w:rPr>
                <w:sz w:val="22"/>
                <w:szCs w:val="22"/>
              </w:rPr>
            </w:pPr>
            <w:r>
              <w:rPr>
                <w:sz w:val="22"/>
                <w:szCs w:val="22"/>
              </w:rPr>
              <w:t>A- and above</w:t>
            </w:r>
          </w:p>
        </w:tc>
        <w:tc>
          <w:tcPr>
            <w:tcW w:w="2160" w:type="dxa"/>
            <w:tcBorders/>
          </w:tcPr>
          <w:p>
            <w:pPr>
              <w:pStyle w:val="Normal"/>
              <w:keepNext w:val="true"/>
              <w:rPr>
                <w:sz w:val="22"/>
                <w:szCs w:val="22"/>
              </w:rPr>
            </w:pPr>
            <w:r>
              <w:rPr>
                <w:sz w:val="22"/>
                <w:szCs w:val="22"/>
              </w:rPr>
              <w:t>A3 and above</w:t>
            </w:r>
          </w:p>
        </w:tc>
      </w:tr>
      <w:tr>
        <w:trPr/>
        <w:tc>
          <w:tcPr>
            <w:tcW w:w="2520" w:type="dxa"/>
            <w:tcBorders/>
          </w:tcPr>
          <w:p>
            <w:pPr>
              <w:pStyle w:val="Normal"/>
              <w:keepNext w:val="true"/>
              <w:rPr>
                <w:sz w:val="22"/>
                <w:szCs w:val="22"/>
              </w:rPr>
            </w:pPr>
            <w:r>
              <w:rPr>
                <w:sz w:val="22"/>
                <w:szCs w:val="22"/>
              </w:rPr>
              <w:t>U.S. $ 20,000,000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Baa1</w:t>
            </w:r>
          </w:p>
        </w:tc>
      </w:tr>
      <w:tr>
        <w:trPr/>
        <w:tc>
          <w:tcPr>
            <w:tcW w:w="2520" w:type="dxa"/>
            <w:tcBorders/>
          </w:tcPr>
          <w:p>
            <w:pPr>
              <w:pStyle w:val="Normal"/>
              <w:keepNext w:val="true"/>
              <w:rPr>
                <w:sz w:val="22"/>
                <w:szCs w:val="22"/>
              </w:rPr>
            </w:pPr>
            <w:r>
              <w:rPr>
                <w:sz w:val="22"/>
                <w:szCs w:val="22"/>
              </w:rPr>
              <w:t>U.S. $ 15,000,000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Baa2</w:t>
            </w:r>
          </w:p>
        </w:tc>
      </w:tr>
      <w:tr>
        <w:trPr/>
        <w:tc>
          <w:tcPr>
            <w:tcW w:w="2520" w:type="dxa"/>
            <w:tcBorders/>
          </w:tcPr>
          <w:p>
            <w:pPr>
              <w:pStyle w:val="Normal"/>
              <w:keepNext w:val="true"/>
              <w:rPr>
                <w:sz w:val="22"/>
                <w:szCs w:val="22"/>
              </w:rPr>
            </w:pPr>
            <w:r>
              <w:rPr>
                <w:sz w:val="22"/>
                <w:szCs w:val="22"/>
              </w:rPr>
              <w:t>U.S. $ 10,000,000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Baa3</w:t>
            </w:r>
          </w:p>
        </w:tc>
      </w:tr>
      <w:tr>
        <w:trPr/>
        <w:tc>
          <w:tcPr>
            <w:tcW w:w="2520" w:type="dxa"/>
            <w:tcBorders/>
          </w:tcPr>
          <w:p>
            <w:pPr>
              <w:pStyle w:val="Normal"/>
              <w:keepNext w:val="true"/>
              <w:rPr>
                <w:sz w:val="22"/>
                <w:szCs w:val="22"/>
              </w:rPr>
            </w:pPr>
            <w:r>
              <w:rPr>
                <w:sz w:val="22"/>
                <w:szCs w:val="22"/>
              </w:rPr>
              <w:t>U.S. $ 5,000,000</w:t>
            </w:r>
          </w:p>
        </w:tc>
        <w:tc>
          <w:tcPr>
            <w:tcW w:w="1800" w:type="dxa"/>
            <w:tcBorders/>
          </w:tcPr>
          <w:p>
            <w:pPr>
              <w:pStyle w:val="Normal"/>
              <w:keepNext w:val="true"/>
              <w:ind w:start="-18" w:end="0"/>
              <w:rPr>
                <w:sz w:val="22"/>
                <w:szCs w:val="22"/>
              </w:rPr>
            </w:pPr>
            <w:r>
              <w:rPr>
                <w:sz w:val="22"/>
                <w:szCs w:val="22"/>
              </w:rPr>
              <w:t>BB+</w:t>
            </w:r>
          </w:p>
        </w:tc>
        <w:tc>
          <w:tcPr>
            <w:tcW w:w="2160" w:type="dxa"/>
            <w:tcBorders/>
          </w:tcPr>
          <w:p>
            <w:pPr>
              <w:pStyle w:val="Normal"/>
              <w:keepNext w:val="true"/>
              <w:rPr>
                <w:sz w:val="22"/>
                <w:szCs w:val="22"/>
              </w:rPr>
            </w:pPr>
            <w:r>
              <w:rPr>
                <w:sz w:val="22"/>
                <w:szCs w:val="22"/>
              </w:rPr>
              <w:t>Ba1</w:t>
            </w:r>
          </w:p>
        </w:tc>
      </w:tr>
      <w:tr>
        <w:trPr/>
        <w:tc>
          <w:tcPr>
            <w:tcW w:w="2520" w:type="dxa"/>
            <w:tcBorders/>
          </w:tcPr>
          <w:p>
            <w:pPr>
              <w:pStyle w:val="Normal"/>
              <w:keepNext w:val="true"/>
              <w:rPr>
                <w:sz w:val="22"/>
                <w:szCs w:val="22"/>
              </w:rPr>
            </w:pPr>
            <w:r>
              <w:rPr>
                <w:sz w:val="22"/>
                <w:szCs w:val="22"/>
              </w:rPr>
              <w:t>U.S. $ 0</w:t>
            </w:r>
          </w:p>
        </w:tc>
        <w:tc>
          <w:tcPr>
            <w:tcW w:w="1800" w:type="dxa"/>
            <w:tcBorders/>
          </w:tcPr>
          <w:p>
            <w:pPr>
              <w:pStyle w:val="Normal"/>
              <w:keepNext w:val="true"/>
              <w:ind w:start="-18" w:end="0"/>
              <w:rPr>
                <w:sz w:val="22"/>
                <w:szCs w:val="22"/>
              </w:rPr>
            </w:pPr>
            <w:r>
              <w:rPr>
                <w:sz w:val="22"/>
                <w:szCs w:val="22"/>
              </w:rPr>
              <w:t>Below BB+</w:t>
            </w:r>
          </w:p>
        </w:tc>
        <w:tc>
          <w:tcPr>
            <w:tcW w:w="2160" w:type="dxa"/>
            <w:tcBorders/>
          </w:tcPr>
          <w:p>
            <w:pPr>
              <w:pStyle w:val="Normal"/>
              <w:keepNext w:val="true"/>
              <w:rPr>
                <w:sz w:val="22"/>
                <w:szCs w:val="22"/>
              </w:rPr>
            </w:pPr>
            <w:r>
              <w:rPr>
                <w:sz w:val="22"/>
                <w:szCs w:val="22"/>
              </w:rPr>
              <w:t>Below Ba1</w:t>
            </w:r>
          </w:p>
        </w:tc>
      </w:tr>
    </w:tbl>
    <w:p>
      <w:pPr>
        <w:pStyle w:val="Normal"/>
        <w:keepNext w:val="true"/>
        <w:ind w:hanging="720" w:start="2160" w:end="0"/>
        <w:jc w:val="both"/>
        <w:rPr>
          <w:sz w:val="22"/>
          <w:szCs w:val="22"/>
        </w:rPr>
      </w:pPr>
      <w:r>
        <w:rPr>
          <w:sz w:val="22"/>
          <w:szCs w:val="22"/>
        </w:rPr>
      </w:r>
    </w:p>
    <w:p>
      <w:pPr>
        <w:pStyle w:val="BodyTextIndent"/>
        <w:keepNext w:val="true"/>
        <w:spacing w:lineRule="auto" w:line="240" w:before="0" w:after="0"/>
        <w:rPr/>
      </w:pPr>
      <w:r>
        <w:rPr/>
        <w:t>provided that:  (1) in any case where an inconsistency arises between or among the Collateral Threshold amount resulting from Party A’s Credit Support Provider having more than one Credit Rating, the lowest Collateral Threshold shall apply; and (2) Party A’s Collateral Threshold shall be zero if (i) an Event of Default or Potential Event of Default with respect to Party A has occurred and is continuing, or (ii) Party A’s Credit Support Provider is not or ceases to be rated by S&amp;P or Moody’s.</w:t>
      </w:r>
    </w:p>
    <w:p>
      <w:pPr>
        <w:pStyle w:val="Normal"/>
        <w:ind w:start="720" w:end="0"/>
        <w:jc w:val="both"/>
        <w:rPr>
          <w:color w:val="000000"/>
          <w:sz w:val="22"/>
          <w:szCs w:val="22"/>
        </w:rPr>
      </w:pPr>
      <w:r>
        <w:rPr>
          <w:color w:val="000000"/>
          <w:sz w:val="22"/>
          <w:szCs w:val="22"/>
        </w:rPr>
      </w:r>
    </w:p>
    <w:p>
      <w:pPr>
        <w:pStyle w:val="Normal"/>
        <w:ind w:start="720" w:end="0"/>
        <w:jc w:val="both"/>
        <w:rPr>
          <w:sz w:val="22"/>
          <w:szCs w:val="22"/>
        </w:rPr>
      </w:pPr>
      <w:r>
        <w:rPr>
          <w:b/>
          <w:bCs/>
          <w:color w:val="000000"/>
          <w:sz w:val="22"/>
          <w:szCs w:val="22"/>
        </w:rPr>
        <w:t>“</w:t>
      </w:r>
      <w:r>
        <w:rPr>
          <w:b/>
          <w:bCs/>
          <w:color w:val="000000"/>
          <w:sz w:val="22"/>
          <w:szCs w:val="22"/>
        </w:rPr>
        <w:t>Party B Collateral Threshold”</w:t>
      </w:r>
      <w:r>
        <w:rPr>
          <w:color w:val="000000"/>
          <w:sz w:val="22"/>
          <w:szCs w:val="22"/>
        </w:rPr>
        <w:t xml:space="preserve"> means the amount set forth opposite the Credit Rating applicable to Canadian Hunter Exploration Ltd. on the relevant date of determination:</w:t>
      </w:r>
    </w:p>
    <w:p>
      <w:pPr>
        <w:pStyle w:val="Normal"/>
        <w:keepNext w:val="true"/>
        <w:ind w:hanging="720" w:start="2160" w:end="0"/>
        <w:jc w:val="both"/>
        <w:rPr>
          <w:sz w:val="22"/>
          <w:szCs w:val="22"/>
        </w:rPr>
      </w:pPr>
      <w:r>
        <w:rPr>
          <w:sz w:val="22"/>
          <w:szCs w:val="22"/>
        </w:rPr>
      </w:r>
    </w:p>
    <w:tbl>
      <w:tblPr>
        <w:tblW w:w="8640" w:type="dxa"/>
        <w:jc w:val="start"/>
        <w:tblInd w:w="1098" w:type="dxa"/>
        <w:tblLayout w:type="fixed"/>
        <w:tblCellMar>
          <w:top w:w="0" w:type="dxa"/>
          <w:start w:w="108" w:type="dxa"/>
          <w:bottom w:w="0" w:type="dxa"/>
          <w:end w:w="108" w:type="dxa"/>
        </w:tblCellMar>
      </w:tblPr>
      <w:tblGrid>
        <w:gridCol w:w="2520"/>
        <w:gridCol w:w="1800"/>
        <w:gridCol w:w="2160"/>
        <w:gridCol w:w="2160"/>
      </w:tblGrid>
      <w:tr>
        <w:trPr/>
        <w:tc>
          <w:tcPr>
            <w:tcW w:w="2520" w:type="dxa"/>
            <w:tcBorders/>
          </w:tcPr>
          <w:p>
            <w:pPr>
              <w:pStyle w:val="Normal"/>
              <w:keepNext w:val="true"/>
              <w:rPr>
                <w:sz w:val="22"/>
                <w:szCs w:val="22"/>
              </w:rPr>
            </w:pPr>
            <w:r>
              <w:rPr>
                <w:b/>
                <w:bCs/>
                <w:sz w:val="22"/>
                <w:szCs w:val="22"/>
                <w:u w:val="single"/>
              </w:rPr>
              <w:t>COLLATERAL THRESHOLD</w:t>
            </w:r>
          </w:p>
        </w:tc>
        <w:tc>
          <w:tcPr>
            <w:tcW w:w="1800" w:type="dxa"/>
            <w:tcBorders/>
          </w:tcPr>
          <w:p>
            <w:pPr>
              <w:pStyle w:val="BodyTextIndent2"/>
              <w:keepNext w:val="true"/>
              <w:ind w:hanging="0" w:end="0"/>
              <w:jc w:val="start"/>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2160"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c>
          <w:tcPr>
            <w:tcW w:w="2160" w:type="dxa"/>
            <w:tcBorders/>
          </w:tcPr>
          <w:p>
            <w:pPr>
              <w:pStyle w:val="Normal"/>
              <w:keepNext w:val="true"/>
              <w:rPr>
                <w:b/>
                <w:bCs/>
                <w:sz w:val="22"/>
                <w:u w:val="single"/>
              </w:rPr>
            </w:pPr>
            <w:r>
              <w:rPr>
                <w:b/>
                <w:bCs/>
                <w:sz w:val="22"/>
                <w:u w:val="single"/>
              </w:rPr>
              <w:t>CBRS CREDIT RATING</w:t>
            </w:r>
          </w:p>
        </w:tc>
      </w:tr>
      <w:tr>
        <w:trPr/>
        <w:tc>
          <w:tcPr>
            <w:tcW w:w="2520" w:type="dxa"/>
            <w:tcBorders/>
          </w:tcPr>
          <w:p>
            <w:pPr>
              <w:pStyle w:val="Normal"/>
              <w:keepNext w:val="true"/>
              <w:rPr>
                <w:sz w:val="22"/>
                <w:szCs w:val="22"/>
              </w:rPr>
            </w:pPr>
            <w:r>
              <w:rPr>
                <w:sz w:val="22"/>
                <w:szCs w:val="22"/>
              </w:rPr>
              <w:t>U.S. $ 25,000,000</w:t>
            </w:r>
          </w:p>
        </w:tc>
        <w:tc>
          <w:tcPr>
            <w:tcW w:w="1800" w:type="dxa"/>
            <w:tcBorders/>
          </w:tcPr>
          <w:p>
            <w:pPr>
              <w:pStyle w:val="Normal"/>
              <w:keepNext w:val="true"/>
              <w:ind w:start="-18" w:end="0"/>
              <w:rPr>
                <w:sz w:val="22"/>
                <w:szCs w:val="22"/>
              </w:rPr>
            </w:pPr>
            <w:r>
              <w:rPr>
                <w:sz w:val="22"/>
                <w:szCs w:val="22"/>
              </w:rPr>
              <w:t>A- and above</w:t>
            </w:r>
          </w:p>
        </w:tc>
        <w:tc>
          <w:tcPr>
            <w:tcW w:w="2160" w:type="dxa"/>
            <w:tcBorders/>
          </w:tcPr>
          <w:p>
            <w:pPr>
              <w:pStyle w:val="Normal"/>
              <w:keepNext w:val="true"/>
              <w:rPr>
                <w:sz w:val="22"/>
                <w:szCs w:val="22"/>
              </w:rPr>
            </w:pPr>
            <w:r>
              <w:rPr>
                <w:sz w:val="22"/>
                <w:szCs w:val="22"/>
              </w:rPr>
              <w:t>A3 and above</w:t>
            </w:r>
          </w:p>
        </w:tc>
        <w:tc>
          <w:tcPr>
            <w:tcW w:w="2160" w:type="dxa"/>
            <w:tcBorders/>
          </w:tcPr>
          <w:p>
            <w:pPr>
              <w:pStyle w:val="Normal"/>
              <w:keepNext w:val="true"/>
              <w:rPr>
                <w:sz w:val="22"/>
                <w:szCs w:val="22"/>
              </w:rPr>
            </w:pPr>
            <w:r>
              <w:rPr>
                <w:sz w:val="22"/>
                <w:szCs w:val="22"/>
              </w:rPr>
              <w:t>A</w:t>
            </w:r>
          </w:p>
        </w:tc>
      </w:tr>
      <w:tr>
        <w:trPr/>
        <w:tc>
          <w:tcPr>
            <w:tcW w:w="2520" w:type="dxa"/>
            <w:tcBorders/>
          </w:tcPr>
          <w:p>
            <w:pPr>
              <w:pStyle w:val="Normal"/>
              <w:keepNext w:val="true"/>
              <w:rPr>
                <w:sz w:val="22"/>
                <w:szCs w:val="22"/>
              </w:rPr>
            </w:pPr>
            <w:r>
              <w:rPr>
                <w:sz w:val="22"/>
                <w:szCs w:val="22"/>
              </w:rPr>
              <w:t>U.S. $ 20,000,000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Baa1</w:t>
            </w:r>
          </w:p>
        </w:tc>
        <w:tc>
          <w:tcPr>
            <w:tcW w:w="2160" w:type="dxa"/>
            <w:tcBorders/>
          </w:tcPr>
          <w:p>
            <w:pPr>
              <w:pStyle w:val="Normal"/>
              <w:keepNext w:val="true"/>
              <w:rPr>
                <w:sz w:val="22"/>
                <w:szCs w:val="22"/>
              </w:rPr>
            </w:pPr>
            <w:r>
              <w:rPr>
                <w:sz w:val="22"/>
                <w:szCs w:val="22"/>
              </w:rPr>
              <w:t>A-</w:t>
            </w:r>
          </w:p>
        </w:tc>
      </w:tr>
      <w:tr>
        <w:trPr/>
        <w:tc>
          <w:tcPr>
            <w:tcW w:w="2520" w:type="dxa"/>
            <w:tcBorders/>
          </w:tcPr>
          <w:p>
            <w:pPr>
              <w:pStyle w:val="Normal"/>
              <w:keepNext w:val="true"/>
              <w:rPr>
                <w:sz w:val="22"/>
                <w:szCs w:val="22"/>
              </w:rPr>
            </w:pPr>
            <w:r>
              <w:rPr>
                <w:sz w:val="22"/>
                <w:szCs w:val="22"/>
              </w:rPr>
              <w:t>U.S. $ 15,000,000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Baa2</w:t>
            </w:r>
          </w:p>
        </w:tc>
        <w:tc>
          <w:tcPr>
            <w:tcW w:w="2160" w:type="dxa"/>
            <w:tcBorders/>
          </w:tcPr>
          <w:p>
            <w:pPr>
              <w:pStyle w:val="Normal"/>
              <w:keepNext w:val="true"/>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$ 10,000,000</w:t>
            </w:r>
          </w:p>
        </w:tc>
        <w:tc>
          <w:tcPr>
            <w:tcW w:w="1800" w:type="dxa"/>
            <w:tcBorders/>
          </w:tcPr>
          <w:p>
            <w:pPr>
              <w:pStyle w:val="Normal"/>
              <w:keepNext w:val="true"/>
              <w:ind w:start="-18" w:end="0"/>
              <w:rPr>
                <w:sz w:val="22"/>
                <w:szCs w:val="22"/>
              </w:rPr>
            </w:pPr>
            <w:r>
              <w:rPr>
                <w:sz w:val="22"/>
                <w:szCs w:val="22"/>
              </w:rPr>
              <w:t>BBB-</w:t>
            </w:r>
          </w:p>
        </w:tc>
        <w:tc>
          <w:tcPr>
            <w:tcW w:w="2160" w:type="dxa"/>
            <w:tcBorders/>
          </w:tcPr>
          <w:p>
            <w:pPr>
              <w:pStyle w:val="Normal"/>
              <w:keepNext w:val="true"/>
              <w:rPr>
                <w:sz w:val="22"/>
                <w:szCs w:val="22"/>
              </w:rPr>
            </w:pPr>
            <w:r>
              <w:rPr>
                <w:sz w:val="22"/>
                <w:szCs w:val="22"/>
              </w:rPr>
              <w:t>Baa3</w:t>
            </w:r>
          </w:p>
        </w:tc>
        <w:tc>
          <w:tcPr>
            <w:tcW w:w="2160" w:type="dxa"/>
            <w:tcBorders/>
          </w:tcPr>
          <w:p>
            <w:pPr>
              <w:pStyle w:val="Normal"/>
              <w:keepNext w:val="true"/>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$ 5,000,000</w:t>
            </w:r>
          </w:p>
        </w:tc>
        <w:tc>
          <w:tcPr>
            <w:tcW w:w="1800" w:type="dxa"/>
            <w:tcBorders/>
          </w:tcPr>
          <w:p>
            <w:pPr>
              <w:pStyle w:val="Normal"/>
              <w:keepNext w:val="true"/>
              <w:ind w:start="-18" w:end="0"/>
              <w:rPr>
                <w:sz w:val="22"/>
                <w:szCs w:val="22"/>
              </w:rPr>
            </w:pPr>
            <w:r>
              <w:rPr>
                <w:sz w:val="22"/>
                <w:szCs w:val="22"/>
              </w:rPr>
              <w:t>BB+</w:t>
            </w:r>
          </w:p>
        </w:tc>
        <w:tc>
          <w:tcPr>
            <w:tcW w:w="2160" w:type="dxa"/>
            <w:tcBorders/>
          </w:tcPr>
          <w:p>
            <w:pPr>
              <w:pStyle w:val="Normal"/>
              <w:keepNext w:val="true"/>
              <w:rPr>
                <w:sz w:val="22"/>
                <w:szCs w:val="22"/>
              </w:rPr>
            </w:pPr>
            <w:r>
              <w:rPr>
                <w:sz w:val="22"/>
                <w:szCs w:val="22"/>
              </w:rPr>
              <w:t>Ba1</w:t>
            </w:r>
          </w:p>
        </w:tc>
        <w:tc>
          <w:tcPr>
            <w:tcW w:w="2160" w:type="dxa"/>
            <w:tcBorders/>
          </w:tcPr>
          <w:p>
            <w:pPr>
              <w:pStyle w:val="Normal"/>
              <w:keepNext w:val="true"/>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$ 0</w:t>
            </w:r>
          </w:p>
        </w:tc>
        <w:tc>
          <w:tcPr>
            <w:tcW w:w="1800" w:type="dxa"/>
            <w:tcBorders/>
          </w:tcPr>
          <w:p>
            <w:pPr>
              <w:pStyle w:val="Normal"/>
              <w:keepNext w:val="true"/>
              <w:ind w:start="-18" w:end="0"/>
              <w:rPr>
                <w:sz w:val="22"/>
                <w:szCs w:val="22"/>
              </w:rPr>
            </w:pPr>
            <w:r>
              <w:rPr>
                <w:sz w:val="22"/>
                <w:szCs w:val="22"/>
              </w:rPr>
              <w:t>Below BB+</w:t>
            </w:r>
          </w:p>
        </w:tc>
        <w:tc>
          <w:tcPr>
            <w:tcW w:w="2160" w:type="dxa"/>
            <w:tcBorders/>
          </w:tcPr>
          <w:p>
            <w:pPr>
              <w:pStyle w:val="Normal"/>
              <w:keepNext w:val="true"/>
              <w:rPr>
                <w:sz w:val="22"/>
                <w:szCs w:val="22"/>
              </w:rPr>
            </w:pPr>
            <w:r>
              <w:rPr>
                <w:sz w:val="22"/>
                <w:szCs w:val="22"/>
              </w:rPr>
              <w:t>Below Ba1</w:t>
            </w:r>
          </w:p>
        </w:tc>
        <w:tc>
          <w:tcPr>
            <w:tcW w:w="2160" w:type="dxa"/>
            <w:tcBorders/>
          </w:tcPr>
          <w:p>
            <w:pPr>
              <w:pStyle w:val="Normal"/>
              <w:keepNext w:val="true"/>
              <w:rPr>
                <w:sz w:val="22"/>
                <w:szCs w:val="22"/>
              </w:rPr>
            </w:pPr>
            <w:r>
              <w:rPr>
                <w:sz w:val="22"/>
                <w:szCs w:val="22"/>
              </w:rPr>
              <w:t>Below BBB-</w:t>
            </w:r>
          </w:p>
        </w:tc>
      </w:tr>
    </w:tbl>
    <w:p>
      <w:pPr>
        <w:pStyle w:val="Normal"/>
        <w:keepNext w:val="true"/>
        <w:ind w:hanging="720" w:start="2160" w:end="0"/>
        <w:jc w:val="both"/>
        <w:rPr>
          <w:sz w:val="22"/>
          <w:szCs w:val="22"/>
        </w:rPr>
      </w:pPr>
      <w:r>
        <w:rPr>
          <w:sz w:val="22"/>
          <w:szCs w:val="22"/>
        </w:rPr>
      </w:r>
    </w:p>
    <w:p>
      <w:pPr>
        <w:pStyle w:val="BodyTextIndent"/>
        <w:keepNext w:val="true"/>
        <w:spacing w:lineRule="auto" w:line="240" w:before="0" w:after="0"/>
        <w:rPr/>
      </w:pPr>
      <w:r>
        <w:rPr/>
        <w:t>provided that:  (1) for so long as and at any time that Party B’s Collateral Threshold is based upon an unpublished Credit Rating from any of S&amp;P, Moody’s or CBRS, Party B shall (i) deliver within three (3) Business Days of any request made in writing by Party A, copies of all official Credit Ratings and Credit Rating reports and analyses supplied on the letterhead of the applicable Credit Rating agency, and (ii) provide to Party A written notification of any change to, or revocation of, the Credit Rating, together with a copy of the official notification from the applicable Credit Rating agency, within three (3) Business Days of such Credit Rating event; (2) in any case where any inconsistency arises between or among the Collateral Threshold amount resulting from Canadian Hunter Exploration Ltd. having more than one Credit Rating, the lowest Collateral Threshold shall apply; (3) Party B’s Collateral Threshold shall be zero if (i) an Event of Default or Potential Event of Default with respect to Party B has occurred and is continuing, (ii) Canadian Hunter Exploration Ltd. is not or ceases to be rated by S&amp;P, Moody’s or CBRS, (iii) with respect to Party B, a Material Adverse Change has occurred and is continuing, or (iv) Party B shall fail to comply with any of the requirements described in subparagraph (1) of this Party B Collateral Threshold description, which failure is not remedied within three (3) Business Days after receipt of written notice of such failure.</w:t>
      </w:r>
    </w:p>
    <w:p>
      <w:pPr>
        <w:pStyle w:val="BodyTextIndent"/>
        <w:keepNext w:val="true"/>
        <w:spacing w:lineRule="auto" w:line="240" w:before="0" w:after="0"/>
        <w:rPr/>
      </w:pPr>
      <w:r>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before="240" w:after="12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spacing w:before="0" w:after="120"/>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 xml:space="preserve">CBRS” </w:t>
      </w:r>
      <w:r>
        <w:rPr>
          <w:sz w:val="22"/>
          <w:szCs w:val="22"/>
        </w:rPr>
        <w:t>means Canadian Bond Rating Service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(including unpublished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with respect to Party B, Canadian Hunter Exploration Ltd. ceases to be the general partner of Party B without the prior written consent of Party A.</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CANADIAN HUNTER RESOURCES, a </w:t>
      </w:r>
      <w:r>
        <w:rPr>
          <w:sz w:val="22"/>
          <w:szCs w:val="22"/>
          <w:u w:val="single"/>
        </w:rPr>
        <w:tab/>
        <w:tab/>
      </w:r>
      <w:r>
        <w:rPr>
          <w:sz w:val="22"/>
          <w:szCs w:val="22"/>
        </w:rPr>
        <w:t xml:space="preserve"> limited partnership (“Counterparty”), and ENRON CANADA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Canadian Hunter Resources</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/mnt/main-storage/datasets/enron-docs/doc/032ctr_canadian_hunter_.doc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/mnt/main-storage/datasets/enron-docs/doc/032ctr_canadian_hunter_.doc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/mnt/main-storage/datasets/enron-docs/doc/032ctr_canadian_hunter_.doc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/mnt/main-storage/datasets/enron-docs/doc/032ctr_canadian_hunter_.doc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2001-07-20T12:03:00Z</dcterms:created>
  <dc:creator>mheard</dc:creator>
  <dc:description/>
  <dc:language>en-CA</dc:language>
  <cp:lastModifiedBy>mheard</cp:lastModifiedBy>
  <cp:lastPrinted>2001-07-27T10:13:00Z</cp:lastPrinted>
  <dcterms:modified xsi:type="dcterms:W3CDTF">2001-07-27T12:45:00Z</dcterms:modified>
  <cp:revision>13</cp:revision>
  <dc:subject/>
  <dc:title>ISDA Multicurrency Agreement</dc:title>
</cp:coreProperties>
</file>