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5.xml" ContentType="application/vnd.openxmlformats-officedocument.wordprocessingml.footer+xml"/>
  <Override PartName="/word/media/image1.png" ContentType="image/png"/>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Heading1"/>
        <w:ind w:hanging="0" w:start="0"/>
        <w:rPr>
          <w:sz w:val="20"/>
        </w:rPr>
      </w:pPr>
      <w:r>
        <w:rPr>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t>____________, 2001</w:t>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AIG Commodity Arbitrage Fund Ltd</w:t>
      </w:r>
      <w:r>
        <w:rPr>
          <w:sz w:val="20"/>
        </w:rPr>
        <w:fldChar w:fldCharType="end"/>
      </w:r>
      <w:r>
        <w:rPr>
          <w:sz w:val="20"/>
        </w:rPr>
        <w:t>.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203-861-3001</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AIG Commodity Arbitrage Fund Ltd. (“Counterparty”) and Enron North America Corp. (“ENA”) on 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 2001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p>
      <w:pPr>
        <w:pStyle w:val="Normal"/>
        <w:rPr>
          <w:sz w:val="20"/>
        </w:rPr>
      </w:pPr>
      <w:r>
        <w:rPr>
          <w:sz w:val="20"/>
        </w:rPr>
        <w:tab/>
        <w:t>Terms to be supplied by ENA Confirmation Desk.</w:t>
      </w:r>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Heading2"/>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1281 East Main Street, Stamford, Connecticut  06902, Attention:  Legal Department, Facsimile No. (203) 324-8488.</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AIG COMMODITY ARBITRAGE FUND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AIG Commodity Arbitrage Fund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sz w:val="20"/>
        </w:rPr>
      </w:pPr>
      <w:r>
        <w:rPr>
          <w:sz w:val="20"/>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limited liability investment company duly existing under the laws of  Bermuda.</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BodyText"/>
        <w:tabs>
          <w:tab w:val="clear" w:pos="720"/>
          <w:tab w:val="left" w:pos="0" w:leader="none"/>
        </w:tabs>
        <w:rPr/>
      </w:pPr>
      <w:r>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tabs>
          <w:tab w:val="clear" w:pos="720"/>
          <w:tab w:val="left" w:pos="1440" w:leader="none"/>
        </w:tabs>
        <w:ind w:start="1440" w:end="0"/>
        <w:jc w:val="both"/>
        <w:rPr>
          <w:sz w:val="20"/>
        </w:rPr>
      </w:pPr>
      <w:r>
        <w:rPr>
          <w:sz w:val="20"/>
        </w:rPr>
      </w:r>
    </w:p>
    <w:p>
      <w:pPr>
        <w:pStyle w:val="BodyText"/>
        <w:tabs>
          <w:tab w:val="clear" w:pos="720"/>
          <w:tab w:val="left" w:pos="0" w:leader="none"/>
        </w:tabs>
        <w:rPr/>
      </w:pPr>
      <w:r>
        <w:rPr/>
        <w:tab/>
        <w:t>7.</w:t>
        <w:tab/>
        <w:t xml:space="preserve">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   </w:t>
        <w:tab/>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AIG Commodity Arbitrage Fund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makes no representations and Party B make the following representations:</w:t>
      </w:r>
    </w:p>
    <w:p>
      <w:pPr>
        <w:pStyle w:val="BodyTextIndent"/>
        <w:ind w:hanging="0" w:start="720" w:end="0"/>
        <w:jc w:val="start"/>
        <w:rPr>
          <w:color w:val="000000"/>
        </w:rPr>
      </w:pPr>
      <w:r>
        <w:rPr>
          <w:color w:val="000000"/>
        </w:rPr>
        <w:t>Each payment received or to be received by it in connection with the ISDA Agreement will not be effectively connected with its conduct of a trade or business in the United States.</w:t>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Termination Events</w:t>
      </w:r>
      <w:r>
        <w:rPr>
          <w:sz w:val="20"/>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Additional Termination Events are added to Section 5(b) of the ISDA Agreement:</w:t>
      </w:r>
    </w:p>
    <w:p>
      <w:pPr>
        <w:pStyle w:val="Normal"/>
        <w:ind w:hanging="720" w:start="720" w:end="0"/>
        <w:jc w:val="both"/>
        <w:rPr>
          <w:sz w:val="20"/>
        </w:rPr>
      </w:pPr>
      <w:r>
        <w:rPr>
          <w:sz w:val="20"/>
        </w:rPr>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3 to 1; or</w:t>
      </w:r>
    </w:p>
    <w:p>
      <w:pPr>
        <w:pStyle w:val="Normal"/>
        <w:spacing w:before="120" w:after="0"/>
        <w:ind w:firstLine="1530" w:start="-810" w:end="0"/>
        <w:jc w:val="both"/>
        <w:rPr>
          <w:sz w:val="20"/>
        </w:rPr>
      </w:pPr>
      <w:r>
        <w:rPr>
          <w:sz w:val="20"/>
        </w:rPr>
        <w:t>(xii)</w:t>
        <w:tab/>
        <w:t>if Counterparty’s Net Asset Value falls below U.S. $150,000,000; or</w:t>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rPr>
          <w:sz w:val="20"/>
        </w:rPr>
      </w:pPr>
      <w:r>
        <w:rPr>
          <w:sz w:val="20"/>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0"/>
        </w:rPr>
      </w:pPr>
      <w:r>
        <w:rPr>
          <w:sz w:val="20"/>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0"/>
        </w:rPr>
        <w:t xml:space="preserve">; </w:t>
      </w:r>
      <w:r>
        <w:rPr>
          <w:sz w:val="20"/>
        </w:rPr>
        <w:t xml:space="preserve">and with respect to Party B, U.S. $5,000,000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Advisory Services Agreement dated July 4, 1997 between Counterparty and Finagra Management L.L.C.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sz w:val="20"/>
        </w:rPr>
      </w:pPr>
      <w:r>
        <w:rPr>
          <w:color w:val="000000"/>
          <w:sz w:val="20"/>
        </w:rPr>
      </w:r>
    </w:p>
    <w:p>
      <w:pPr>
        <w:pStyle w:val="Normal"/>
        <w:ind w:start="360" w:end="0"/>
        <w:jc w:val="both"/>
        <w:rPr/>
      </w:pPr>
      <w:r>
        <w:rPr>
          <w:i/>
          <w:sz w:val="20"/>
        </w:rPr>
        <w:t>“</w:t>
      </w:r>
      <w:r>
        <w:rPr>
          <w:i/>
          <w:sz w:val="20"/>
          <w:u w:val="single"/>
        </w:rPr>
        <w:t>Net Asset Value</w:t>
      </w:r>
      <w:r>
        <w:rPr>
          <w:i/>
          <w:sz w:val="20"/>
        </w:rPr>
        <w:t>”</w:t>
      </w:r>
      <w:r>
        <w:rPr>
          <w:b/>
          <w:sz w:val="20"/>
        </w:rPr>
        <w:t xml:space="preserve"> </w:t>
      </w:r>
      <w:r>
        <w:rPr>
          <w:sz w:val="20"/>
        </w:rPr>
        <w:t>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ENA previously delivered to Counterparty the duly executed guaranty dated April 17, 2001 (</w:t>
      </w:r>
      <w:r>
        <w:rPr>
          <w:i/>
          <w:sz w:val="20"/>
        </w:rPr>
        <w:t>"</w:t>
      </w:r>
      <w:r>
        <w:rPr>
          <w:i/>
          <w:sz w:val="20"/>
          <w:u w:val="single"/>
        </w:rPr>
        <w:t>Guaranty</w:t>
      </w:r>
      <w:r>
        <w:rPr>
          <w:i/>
          <w:sz w:val="20"/>
        </w:rPr>
        <w:t>"</w:t>
      </w:r>
      <w:r>
        <w:rPr>
          <w:sz w:val="20"/>
        </w:rPr>
        <w:t>) from its Credit Support Provider in favor of Counterparty,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2">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u w:val="single"/>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sz w:val="20"/>
        </w:rPr>
      </w:pPr>
      <w:r>
        <w:rPr>
          <w:i/>
          <w:sz w:val="20"/>
        </w:rPr>
        <w:tab/>
      </w:r>
      <w:r>
        <w:rPr>
          <w:sz w:val="20"/>
        </w:rPr>
        <w:t>(a)</w:t>
        <w:tab/>
      </w:r>
      <w:r>
        <w:rPr>
          <w:i/>
          <w:sz w:val="20"/>
        </w:rPr>
        <w:t>"</w:t>
      </w:r>
      <w:r>
        <w:rPr>
          <w:i/>
          <w:sz w:val="20"/>
          <w:u w:val="single"/>
        </w:rPr>
        <w:t>Additional Amount</w:t>
      </w:r>
      <w:r>
        <w:rPr>
          <w:i/>
          <w:sz w:val="20"/>
        </w:rPr>
        <w:t>"</w:t>
      </w:r>
      <w:r>
        <w:rPr>
          <w:sz w:val="20"/>
        </w:rPr>
        <w:t xml:space="preserve"> shall mean, </w:t>
      </w:r>
      <w:r>
        <w:rPr>
          <w:sz w:val="20"/>
          <w:szCs w:val="24"/>
        </w:rPr>
        <w:t>with respect to ENA, the amount specified as such for ENA in each Confirmation, or if no amount is specified, zero and means with respect to Counterparty and applicable to all outstanding Transactions, $570,000, which amount supercedes any previously specified Additional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0"/>
        </w:rPr>
      </w:pPr>
      <w:r>
        <w:rPr>
          <w:sz w:val="20"/>
        </w:rPr>
        <w:tab/>
        <w:tab/>
      </w:r>
    </w:p>
    <w:p>
      <w:pPr>
        <w:pStyle w:val="Normal"/>
        <w:ind w:hanging="720" w:start="1440" w:end="0"/>
        <w:jc w:val="both"/>
        <w:rPr>
          <w:b/>
          <w:sz w:val="20"/>
        </w:rPr>
      </w:pPr>
      <w:r>
        <w:rPr>
          <w:sz w:val="20"/>
        </w:rPr>
        <w:t>(d)</w:t>
        <w:tab/>
        <w:t>"</w:t>
      </w:r>
      <w:r>
        <w:rPr>
          <w:i/>
          <w:sz w:val="20"/>
          <w:u w:val="single"/>
        </w:rPr>
        <w:t>Credit Rating</w:t>
      </w:r>
      <w:r>
        <w:rPr>
          <w:i/>
          <w:sz w:val="20"/>
        </w:rPr>
        <w:t>"</w:t>
      </w:r>
      <w:r>
        <w:rPr>
          <w:sz w:val="20"/>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left" w:pos="720" w:leader="none"/>
        </w:tabs>
        <w:ind w:hanging="1440" w:start="1440" w:end="0"/>
        <w:jc w:val="both"/>
        <w:rPr>
          <w:sz w:val="20"/>
        </w:rPr>
      </w:pPr>
      <w:r>
        <w:rPr>
          <w:sz w:val="20"/>
        </w:rPr>
        <w:tab/>
      </w:r>
    </w:p>
    <w:p>
      <w:pPr>
        <w:pStyle w:val="Normal"/>
        <w:tabs>
          <w:tab w:val="left" w:pos="720" w:leader="none"/>
        </w:tabs>
        <w:ind w:hanging="1440" w:start="1440" w:end="0"/>
        <w:jc w:val="both"/>
        <w:rPr/>
      </w:pPr>
      <w:r>
        <w:rPr>
          <w:sz w:val="20"/>
        </w:rPr>
        <w:tab/>
        <w:t>(e)</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(f)</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(g)</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(i)</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0"/>
        </w:rPr>
      </w:pPr>
      <w:r>
        <w:rPr>
          <w:sz w:val="20"/>
        </w:rPr>
      </w:r>
    </w:p>
    <w:p>
      <w:pPr>
        <w:pStyle w:val="Normal"/>
        <w:ind w:hanging="720" w:start="1440" w:end="0"/>
        <w:jc w:val="both"/>
        <w:rPr/>
      </w:pPr>
      <w:r>
        <w:rPr>
          <w:sz w:val="20"/>
        </w:rPr>
        <w:t>(j)</w:t>
        <w:tab/>
        <w:t>"</w:t>
      </w:r>
      <w:r>
        <w:rPr>
          <w:i/>
          <w:sz w:val="20"/>
          <w:u w:val="single"/>
        </w:rPr>
        <w:t>Material Adverse Change</w:t>
      </w:r>
      <w:r>
        <w:rPr>
          <w:sz w:val="20"/>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0"/>
        </w:rPr>
      </w:pPr>
      <w:r>
        <w:rPr>
          <w:sz w:val="20"/>
        </w:rPr>
      </w:r>
    </w:p>
    <w:p>
      <w:pPr>
        <w:pStyle w:val="Normal"/>
        <w:ind w:hanging="720" w:start="1440" w:end="0"/>
        <w:jc w:val="both"/>
        <w:rPr/>
      </w:pPr>
      <w:r>
        <w:rPr>
          <w:sz w:val="20"/>
        </w:rPr>
        <w:t>(k)</w:t>
      </w:r>
      <w:r>
        <w:rPr>
          <w:i/>
          <w:sz w:val="20"/>
        </w:rPr>
        <w:tab/>
        <w:t>"</w:t>
      </w:r>
      <w:r>
        <w:rPr>
          <w:i/>
          <w:sz w:val="20"/>
          <w:u w:val="single"/>
        </w:rPr>
        <w:t>Moody's</w:t>
      </w:r>
      <w:r>
        <w:rPr>
          <w:i/>
          <w:sz w:val="20"/>
        </w:rPr>
        <w:t>"</w:t>
      </w:r>
      <w:r>
        <w:rPr>
          <w:sz w:val="20"/>
        </w:rPr>
        <w:t xml:space="preserve"> means Moody's Investors Service, Inc. or its successor.</w:t>
      </w:r>
    </w:p>
    <w:p>
      <w:pPr>
        <w:pStyle w:val="Normal"/>
        <w:jc w:val="both"/>
        <w:rPr>
          <w:sz w:val="20"/>
        </w:rPr>
      </w:pPr>
      <w:r>
        <w:rPr>
          <w:sz w:val="20"/>
        </w:rPr>
      </w:r>
    </w:p>
    <w:p>
      <w:pPr>
        <w:pStyle w:val="Normal"/>
        <w:ind w:hanging="720" w:start="1440" w:end="0"/>
        <w:jc w:val="both"/>
        <w:rPr/>
      </w:pPr>
      <w:r>
        <w:rPr>
          <w:sz w:val="20"/>
        </w:rPr>
        <w:t>(l)</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0"/>
        </w:rPr>
      </w:pPr>
      <w:r>
        <w:rPr>
          <w:sz w:val="20"/>
        </w:rPr>
      </w:r>
    </w:p>
    <w:p>
      <w:pPr>
        <w:pStyle w:val="Normal"/>
        <w:tabs>
          <w:tab w:val="clear" w:pos="720"/>
          <w:tab w:val="left" w:pos="1440" w:leader="none"/>
        </w:tabs>
        <w:ind w:hanging="720" w:start="1440" w:end="0"/>
        <w:jc w:val="both"/>
        <w:rPr/>
      </w:pPr>
      <w:r>
        <w:rPr>
          <w:sz w:val="20"/>
        </w:rPr>
        <w:t>(m)</w:t>
      </w:r>
      <w:r>
        <w:rPr>
          <w:i/>
          <w:sz w:val="20"/>
        </w:rPr>
        <w:tab/>
        <w:t>“</w:t>
      </w:r>
      <w:r>
        <w:rPr>
          <w:i/>
          <w:sz w:val="20"/>
          <w:u w:val="single"/>
        </w:rPr>
        <w:t>S&amp;P</w:t>
      </w:r>
      <w:r>
        <w:rPr>
          <w:i/>
          <w:sz w:val="20"/>
        </w:rPr>
        <w:t>"</w:t>
      </w:r>
      <w:r>
        <w:rPr>
          <w:sz w:val="20"/>
        </w:rPr>
        <w:t xml:space="preserve"> means the Standard &amp; Poor's Rating Group (a division of McGraw-Hill, Inc.) or its successor.</w:t>
      </w:r>
    </w:p>
    <w:p>
      <w:pPr>
        <w:pStyle w:val="Normal"/>
        <w:jc w:val="both"/>
        <w:rPr>
          <w:sz w:val="20"/>
        </w:rPr>
      </w:pPr>
      <w:r>
        <w:rPr>
          <w:sz w:val="20"/>
        </w:rPr>
      </w:r>
    </w:p>
    <w:p>
      <w:pPr>
        <w:pStyle w:val="Normal"/>
        <w:tabs>
          <w:tab w:val="left" w:pos="720" w:leader="none"/>
        </w:tabs>
        <w:ind w:hanging="720" w:start="1440" w:end="0"/>
        <w:jc w:val="both"/>
        <w:rPr/>
      </w:pPr>
      <w:r>
        <w:rPr>
          <w:sz w:val="20"/>
        </w:rPr>
        <w:t>(n)</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(o)</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0"/>
        </w:rPr>
      </w:pPr>
      <w:r>
        <w:rPr>
          <w:sz w:val="20"/>
        </w:rPr>
      </w:r>
    </w:p>
    <w:p>
      <w:pPr>
        <w:pStyle w:val="Normal"/>
        <w:ind w:hanging="720" w:start="1440" w:end="0"/>
        <w:jc w:val="both"/>
        <w:rPr/>
      </w:pPr>
      <w:r>
        <w:rPr>
          <w:sz w:val="20"/>
        </w:rPr>
        <w:t>(d)</w:t>
        <w:tab/>
        <w:t xml:space="preserve">ENA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0"/>
        </w:rPr>
      </w:pPr>
      <w:r>
        <w:rPr>
          <w:sz w:val="20"/>
        </w:rPr>
      </w:r>
    </w:p>
    <w:p>
      <w:pPr>
        <w:pStyle w:val="Normal"/>
        <w:ind w:hanging="720" w:start="1440" w:end="0"/>
        <w:jc w:val="both"/>
        <w:rPr/>
      </w:pPr>
      <w:r>
        <w:rPr>
          <w:sz w:val="20"/>
        </w:rPr>
        <w:t>(e)</w:t>
        <w:tab/>
        <w:t xml:space="preserve">Counterparty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ind w:hanging="720" w:start="1440" w:end="0"/>
        <w:jc w:val="both"/>
        <w:rPr>
          <w:sz w:val="20"/>
        </w:rPr>
      </w:pPr>
      <w:r>
        <w:rPr>
          <w:sz w:val="20"/>
        </w:rPr>
      </w:r>
    </w:p>
    <w:p>
      <w:pPr>
        <w:pStyle w:val="Normal"/>
        <w:ind w:hanging="720" w:start="1440" w:end="0"/>
        <w:jc w:val="both"/>
        <w:rPr/>
      </w:pPr>
      <w:r>
        <w:rPr>
          <w:sz w:val="20"/>
        </w:rPr>
        <w:t>(f)</w:t>
      </w:r>
      <w:r>
        <w:rPr>
          <w:color w:val="0000FF"/>
          <w:sz w:val="20"/>
        </w:rPr>
        <w:tab/>
      </w:r>
      <w:r>
        <w:rPr>
          <w:sz w:val="20"/>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0"/>
          <w:u w:val="single"/>
        </w:rPr>
        <w:t>provided</w:t>
      </w:r>
      <w:r>
        <w:rPr>
          <w:sz w:val="20"/>
        </w:rPr>
        <w:t xml:space="preserve">, </w:t>
      </w:r>
      <w:r>
        <w:rPr>
          <w:sz w:val="20"/>
          <w:u w:val="single"/>
        </w:rPr>
        <w:t>however</w:t>
      </w:r>
      <w:r>
        <w:rPr>
          <w:sz w:val="20"/>
        </w:rPr>
        <w:t>, that if a party is not eligible to hold Performance Assurance pursuant to Section 3(d) or (e) of this Annex (the event that caused it to be ineligible to hold Performance Assurance shall be a “Credit Rating Event” and such party</w:t>
      </w:r>
      <w:r>
        <w:rPr>
          <w:color w:val="FF0000"/>
          <w:sz w:val="20"/>
        </w:rPr>
        <w:t xml:space="preserve"> </w:t>
      </w:r>
      <w:r>
        <w:rPr>
          <w:sz w:val="20"/>
        </w:rPr>
        <w:t>shall be the “Downgraded Party”), then:</w:t>
      </w:r>
    </w:p>
    <w:p>
      <w:pPr>
        <w:pStyle w:val="Normal"/>
        <w:ind w:hanging="720" w:start="2160" w:end="0"/>
        <w:jc w:val="both"/>
        <w:rPr>
          <w:sz w:val="20"/>
        </w:rPr>
      </w:pPr>
      <w:r>
        <w:rPr>
          <w:sz w:val="20"/>
        </w:rPr>
      </w:r>
    </w:p>
    <w:p>
      <w:pPr>
        <w:pStyle w:val="Normal"/>
        <w:ind w:start="1440" w:end="0"/>
        <w:jc w:val="both"/>
        <w:rPr>
          <w:sz w:val="20"/>
        </w:rPr>
      </w:pPr>
      <w:r>
        <w:rPr>
          <w:sz w:val="20"/>
        </w:rPr>
        <w:t>(1)  the provisions of Section 7(d) of this Annex will not apply with respect to the Downgraded Party as the Secured Party (as defined below) for so long as it remains a Downgraded Party.</w:t>
      </w:r>
    </w:p>
    <w:p>
      <w:pPr>
        <w:pStyle w:val="Normal"/>
        <w:ind w:start="1440" w:end="0"/>
        <w:jc w:val="both"/>
        <w:rPr>
          <w:sz w:val="20"/>
        </w:rPr>
      </w:pPr>
      <w:r>
        <w:rPr>
          <w:sz w:val="20"/>
        </w:rPr>
      </w:r>
    </w:p>
    <w:p>
      <w:pPr>
        <w:pStyle w:val="Normal"/>
        <w:ind w:start="1440" w:end="0"/>
        <w:jc w:val="both"/>
        <w:rPr>
          <w:sz w:val="20"/>
        </w:rPr>
      </w:pPr>
      <w:r>
        <w:rPr>
          <w:sz w:val="20"/>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0"/>
        </w:rPr>
      </w:pPr>
      <w:r>
        <w:rPr>
          <w:sz w:val="20"/>
        </w:rPr>
      </w:r>
    </w:p>
    <w:p>
      <w:pPr>
        <w:pStyle w:val="Normal"/>
        <w:ind w:start="1440" w:end="0"/>
        <w:jc w:val="both"/>
        <w:rPr>
          <w:sz w:val="20"/>
        </w:rPr>
      </w:pPr>
      <w:r>
        <w:rPr>
          <w:sz w:val="20"/>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(a)</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b/>
          <w:sz w:val="20"/>
          <w:u w:val="single"/>
        </w:rPr>
      </w:pPr>
      <w:r>
        <w:rPr>
          <w:b/>
          <w:sz w:val="20"/>
          <w:u w:val="single"/>
        </w:rPr>
      </w:r>
    </w:p>
    <w:sectPr>
      <w:headerReference w:type="default" r:id="rId17"/>
      <w:headerReference w:type="first" r:id="rId18"/>
      <w:footerReference w:type="default" r:id="rId19"/>
      <w:footerReference w:type="first" r:id="rId20"/>
      <w:type w:val="nextPage"/>
      <w:pgSz w:w="12240" w:h="15840"/>
      <w:pgMar w:left="1728" w:right="1728"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/mnt/main-storage/datasets/enron-docs/doc/032conf_aig_comm_arb._fund_ltd._.doc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/mnt/main-storage/datasets/enron-docs/doc/032conf_aig_comm_arb._fund_ltd._.doc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/mnt/main-storage/datasets/enron-docs/doc/032conf_aig_comm_arb._fund_ltd._.doc</w:t>
    </w:r>
    <w:r>
      <w:rPr>
        <w:sz w:val="12"/>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jc w:val="center"/>
      <w:rPr>
        <w:sz w:val="18"/>
      </w:rPr>
    </w:pPr>
    <w:r>
      <w:rPr>
        <w:sz w:val="18"/>
      </w:rPr>
      <w:t>Annex B</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577840" cy="269240"/>
              <wp:effectExtent l="0" t="0" r="0" b="0"/>
              <wp:wrapSquare wrapText="bothSides"/>
              <wp:docPr id="3" name="Frame2"/>
              <a:graphic xmlns:a="http://schemas.openxmlformats.org/drawingml/2006/main">
                <a:graphicData uri="http://schemas.microsoft.com/office/word/2010/wordprocessingShape">
                  <wps:wsp>
                    <wps:cNvSpPr txBox="1"/>
                    <wps:spPr>
                      <a:xfrm>
                        <a:off x="0" y="0"/>
                        <a:ext cx="5577840" cy="269240"/>
                      </a:xfrm>
                      <a:prstGeom prst="rect"/>
                      <a:solidFill>
                        <a:srgbClr val="FFFFFF">
                          <a:alpha val="0"/>
                        </a:srgbClr>
                      </a:solidFill>
                    </wps:spPr>
                    <wps:txbx>
                      <w:txbxContent>
                        <w:p>
                          <w:pPr>
                            <w:pStyle w:val="Footer"/>
                            <w:jc w:val="center"/>
                            <w:rPr/>
                          </w:pPr>
                          <w:r>
                            <w:rPr>
                              <w:rStyle w:val="PageNumber"/>
                              <w:sz w:val="18"/>
                            </w:rPr>
                            <w:t>Annex B-1</w:t>
                          </w:r>
                        </w:p>
                        <w:p>
                          <w:pPr>
                            <w:pStyle w:val="Footer"/>
                            <w:jc w:val="center"/>
                            <w:rPr>
                              <w:rStyle w:val="PageNumb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39.2pt;height:21.2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sz w:val="18"/>
                      </w:rPr>
                      <w:t>Annex B-1</w:t>
                    </w:r>
                  </w:p>
                  <w:p>
                    <w:pPr>
                      <w:pStyle w:val="Footer"/>
                      <w:jc w:val="center"/>
                      <w:rPr>
                        <w:rStyle w:val="PageNumb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yperlink" Target="http://www.enron.com/" TargetMode="Externa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2001-10-22T13:40:00Z</dcterms:created>
  <dc:creator>ECT</dc:creator>
  <dc:description/>
  <dc:language>en-CA</dc:language>
  <cp:lastModifiedBy>mheard</cp:lastModifiedBy>
  <cp:lastPrinted>2001-10-22T14:48:00Z</cp:lastPrinted>
  <dcterms:modified xsi:type="dcterms:W3CDTF">2001-10-22T17:18:00Z</dcterms:modified>
  <cp:revision>6</cp:revision>
  <dc:subject>AIG Commodity Arbitrage Fund Limited</dc:subject>
  <dc:title>V41967.4</dc:title>
</cp:coreProperties>
</file>