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b/>
          <w:bCs/>
        </w:rPr>
      </w:pPr>
      <w:r>
        <w:rPr>
          <w:b/>
          <w:bCs/>
        </w:rPr>
        <w:t>CONFIDENTIAL AND PRIVILEGED ATTORNEY-CLIENT COMMUNICATION</w:t>
      </w:r>
    </w:p>
    <w:p>
      <w:pPr>
        <w:pStyle w:val="Normal"/>
        <w:rPr/>
      </w:pPr>
      <w:r>
        <w:rPr/>
      </w:r>
    </w:p>
    <w:p>
      <w:pPr>
        <w:pStyle w:val="Normal"/>
        <w:jc w:val="center"/>
        <w:rPr>
          <w:sz w:val="40"/>
        </w:rPr>
      </w:pPr>
      <w:r>
        <w:rPr>
          <w:b/>
          <w:bCs/>
          <w:smallCaps/>
          <w:sz w:val="40"/>
          <w:szCs w:val="40"/>
        </w:rPr>
        <w:t>Memorandum</w:t>
      </w:r>
    </w:p>
    <w:p>
      <w:pPr>
        <w:pStyle w:val="Normal"/>
        <w:rPr>
          <w:sz w:val="40"/>
        </w:rPr>
      </w:pPr>
      <w:r>
        <w:rPr>
          <w:sz w:val="40"/>
        </w:rPr>
      </w:r>
    </w:p>
    <w:p>
      <w:pPr>
        <w:pStyle w:val="Normal"/>
        <w:rPr/>
      </w:pPr>
      <w:r>
        <w:rPr/>
      </w:r>
    </w:p>
    <w:p>
      <w:pPr>
        <w:pStyle w:val="Normal"/>
        <w:tabs>
          <w:tab w:val="left" w:pos="720" w:leader="none"/>
          <w:tab w:val="left" w:pos="1440" w:leader="none"/>
        </w:tabs>
        <w:ind w:hanging="1440" w:start="1440" w:end="0"/>
        <w:rPr/>
      </w:pPr>
      <w:r>
        <w:rPr/>
        <w:t>TO:</w:t>
        <w:tab/>
        <w:tab/>
        <w:t>IEP Restructuring and Transmission Task Forces</w:t>
      </w:r>
    </w:p>
    <w:p>
      <w:pPr>
        <w:pStyle w:val="Normal"/>
        <w:tabs>
          <w:tab w:val="left" w:pos="720" w:leader="none"/>
          <w:tab w:val="left" w:pos="1440" w:leader="none"/>
        </w:tabs>
        <w:ind w:hanging="1440" w:start="1440" w:end="0"/>
        <w:rPr/>
      </w:pPr>
      <w:r>
        <w:rPr/>
        <w:tab/>
        <w:tab/>
        <w:t>Jan Smutny-Jones, Steven Kelly, Katie Kaplan</w:t>
      </w:r>
    </w:p>
    <w:p>
      <w:pPr>
        <w:pStyle w:val="Normal"/>
        <w:rPr/>
      </w:pPr>
      <w:r>
        <w:rPr/>
      </w:r>
    </w:p>
    <w:p>
      <w:pPr>
        <w:pStyle w:val="Normal"/>
        <w:tabs>
          <w:tab w:val="left" w:pos="720" w:leader="none"/>
          <w:tab w:val="left" w:pos="1440" w:leader="none"/>
        </w:tabs>
        <w:ind w:hanging="1440" w:start="1440" w:end="0"/>
        <w:rPr/>
      </w:pPr>
      <w:r>
        <w:rPr/>
        <w:t>FROM:</w:t>
        <w:tab/>
        <w:t>Eric Janssen</w:t>
      </w:r>
    </w:p>
    <w:p>
      <w:pPr>
        <w:pStyle w:val="Normal"/>
        <w:rPr/>
      </w:pPr>
      <w:r>
        <w:rPr/>
      </w:r>
    </w:p>
    <w:p>
      <w:pPr>
        <w:pStyle w:val="Normal"/>
        <w:tabs>
          <w:tab w:val="left" w:pos="720" w:leader="none"/>
          <w:tab w:val="left" w:pos="1440" w:leader="none"/>
        </w:tabs>
        <w:ind w:hanging="1440" w:start="1440" w:end="0"/>
        <w:rPr/>
      </w:pPr>
      <w:r>
        <w:rPr/>
        <w:t>RE:</w:t>
        <w:tab/>
        <w:tab/>
        <w:t>Agenda for CPUC March 27, 2001 Business Meeting</w:t>
      </w:r>
    </w:p>
    <w:p>
      <w:pPr>
        <w:pStyle w:val="Normal"/>
        <w:rPr/>
      </w:pPr>
      <w:r>
        <w:rPr/>
      </w:r>
    </w:p>
    <w:p>
      <w:pPr>
        <w:pStyle w:val="Normal"/>
        <w:rPr/>
      </w:pPr>
      <w:r>
        <w:rPr/>
        <w:t>DATE:</w:t>
        <w:tab/>
        <w:tab/>
        <w:t>March 26, 2001</w:t>
      </w:r>
    </w:p>
    <w:p>
      <w:pPr>
        <w:pStyle w:val="Normal"/>
        <w:rPr/>
      </w:pPr>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spPr>
                        <a:xfrm>
                          <a:off x="0" y="0"/>
                          <a:ext cx="5943600" cy="19080"/>
                        </a:xfrm>
                        <a:prstGeom prst="rect">
                          <a:avLst/>
                        </a:prstGeom>
                        <a:solidFill>
                          <a:srgbClr val="a28d68"/>
                        </a:solidFill>
                        <a:ln w="0">
                          <a:noFill/>
                        </a:ln>
                      </wps:spPr>
                      <wps:style>
                        <a:lnRef idx="0"/>
                        <a:fillRef idx="0"/>
                        <a:effectRef idx="0"/>
                        <a:fontRef idx="minor"/>
                      </wps:style>
                      <wps:bodyPr/>
                    </wps:wsp>
                  </a:graphicData>
                </a:graphic>
              </wp:inline>
            </w:drawing>
          </mc:Choice>
          <mc:Fallback>
            <w:pict>
              <v:rect id="shape_0" fillcolor="#a28d68" stroked="f" o:allowincell="f" style="position:absolute;margin-left:0pt;margin-top:-1.55pt;width:467.95pt;height:1.45pt;mso-wrap-style:none;v-text-anchor:middle;mso-position-vertical:top">
                <v:fill o:detectmouseclick="t" type="solid" color2="#5d7297"/>
                <v:stroke color="#3465a4" joinstyle="round" endcap="flat"/>
                <w10:wrap type="square"/>
              </v:rect>
            </w:pict>
          </mc:Fallback>
        </mc:AlternateContent>
      </w:r>
    </w:p>
    <w:p>
      <w:pPr>
        <w:pStyle w:val="Normal"/>
        <w:rPr/>
      </w:pPr>
      <w:r>
        <w:rPr/>
      </w:r>
    </w:p>
    <w:p>
      <w:pPr>
        <w:pStyle w:val="Normal"/>
        <w:ind w:firstLine="720" w:end="0"/>
        <w:rPr/>
      </w:pPr>
      <w:r>
        <w:rPr/>
        <w:t>This memorandum summarizes notable items from the agenda for California Public Utilities Commission’s March 27, 2001 regularly scheduled meeting.  We will provide a summary of the results of the meeting as soon as possible.</w:t>
      </w:r>
    </w:p>
    <w:p>
      <w:pPr>
        <w:pStyle w:val="Normal"/>
        <w:ind w:firstLine="720" w:end="0"/>
        <w:rPr/>
      </w:pPr>
      <w:r>
        <w:rPr/>
      </w:r>
    </w:p>
    <w:p>
      <w:pPr>
        <w:pStyle w:val="Normal"/>
        <w:ind w:firstLine="720" w:end="0"/>
        <w:rPr/>
      </w:pPr>
      <w:r>
        <w:rPr>
          <w:i/>
          <w:iCs/>
        </w:rPr>
        <w:t>ABX1_1 Implementation:</w:t>
      </w:r>
      <w:r>
        <w:rPr/>
        <w:t xml:space="preserve">  there are several items on the agenda dealing with ABX1_1 implementation.  Item H-23 provides a floor for the California Procurement Adjustment (CPA) to allow the California Department of Water Resources (DWR) to obtain financing for its purchases.  Item H-24 has to do with similar financing matters concerning DWR.  Items H-25 and 4 both address the funding flow from the utilities, which collect the billed amounts, to the DWR.  Item 4 establishes a “company-wide average CPA rate” which determines the CPA revenue amount that then allows DWR to issue bonds.</w:t>
      </w:r>
    </w:p>
    <w:p>
      <w:pPr>
        <w:pStyle w:val="Normal"/>
        <w:ind w:firstLine="720" w:end="0"/>
        <w:rPr/>
      </w:pPr>
      <w:r>
        <w:rPr/>
      </w:r>
    </w:p>
    <w:p>
      <w:pPr>
        <w:pStyle w:val="Normal"/>
        <w:ind w:firstLine="720" w:end="0"/>
        <w:rPr/>
      </w:pPr>
      <w:r>
        <w:rPr>
          <w:i/>
          <w:iCs/>
        </w:rPr>
        <w:t>Utility Solvency:</w:t>
      </w:r>
      <w:r>
        <w:rPr/>
        <w:t xml:space="preserve"> Items 5 and 5b address rate increases.  Item 5 addresses the need to increase prices in order for PG&amp;E and Edison to continue to purchase power to serve their customers on a going-forward basis.  This item finds denies PG&amp;E’s and Edison’s requests for rate relief and further finds that the rate freeze has not ended.  Item 5b is the Lynch alternate (unveiled earlier this morning) that grants PG&amp;E and Edison authority to increase rates by adding to their current rates a three-cent per kilowatt-hour (kWh) surcharge in response to the current emergency in the electric industry.</w:t>
      </w:r>
    </w:p>
    <w:p>
      <w:pPr>
        <w:pStyle w:val="Normal"/>
        <w:ind w:firstLine="720" w:end="0"/>
        <w:rPr/>
      </w:pPr>
      <w:r>
        <w:rPr/>
      </w:r>
    </w:p>
    <w:p>
      <w:pPr>
        <w:pStyle w:val="Normal"/>
        <w:ind w:firstLine="720" w:end="0"/>
        <w:rPr/>
      </w:pPr>
      <w:r>
        <w:rPr>
          <w:i/>
          <w:iCs/>
        </w:rPr>
        <w:t>Bilateral Contracting:</w:t>
      </w:r>
      <w:r>
        <w:rPr/>
        <w:t xml:space="preserve">  Items H-11 and H-11a address the prudency review of future utility bilateral contracts.  Item H-11 proposes that the least expensive 30% of power offered in the competitive utility solicitations for power will be considered to be per se reasonable, subject to the several conditions.  Item H-11a sets a total generation cost benchmark of 6¢/kWh and if the annual average 2001 total generation costs meet the benchmark, no reasonableness review would be conducted.  </w:t>
      </w:r>
    </w:p>
    <w:p>
      <w:pPr>
        <w:pStyle w:val="Normal"/>
        <w:ind w:firstLine="720" w:end="0"/>
        <w:rPr/>
      </w:pPr>
      <w:r>
        <w:rPr/>
      </w:r>
    </w:p>
    <w:p>
      <w:pPr>
        <w:pStyle w:val="Normal"/>
        <w:ind w:firstLine="720" w:end="0"/>
        <w:rPr/>
      </w:pPr>
      <w:r>
        <w:rPr>
          <w:i/>
          <w:iCs/>
        </w:rPr>
        <w:t>Section 390 Rulemaking:</w:t>
      </w:r>
      <w:r>
        <w:rPr/>
        <w:t xml:space="preserve">  Commissioner Wood today released another revised proposed decision (PD) responsive to parties’ comments on his March 21 revised PD.  IEP filed comments opposing the March 21 PD’s establishment of an “all-in” Consumer Transition Price (CTP) cap, based on a FERC reasonableness standard, as the basis for SRAC.  The March 26 revision employs the CTP as a benchmark, and bases next month’s Edison SRAC payments on the Malin border price index.  This revision also sets a schedule for alternate determinations of SRAC including incorporation of incremental system heat rates and variable O&amp;M values.  (The ECAC resurfaces.)</w:t>
      </w:r>
    </w:p>
    <w:p>
      <w:pPr>
        <w:pStyle w:val="Normal"/>
        <w:ind w:firstLine="720" w:end="0"/>
        <w:rPr/>
      </w:pPr>
      <w:r>
        <w:rPr/>
      </w:r>
    </w:p>
    <w:p>
      <w:pPr>
        <w:pStyle w:val="Normal"/>
        <w:ind w:firstLine="720" w:end="0"/>
        <w:rPr/>
      </w:pPr>
      <w:r>
        <w:rPr>
          <w:i/>
          <w:iCs/>
        </w:rPr>
        <w:t>Stand-by Rates:</w:t>
      </w:r>
      <w:r>
        <w:rPr/>
        <w:t xml:space="preserve">  Item 7 is the PD in the Distributed Generation Rulemaking.  This PD provides guidelines for appropriate rate design of the standby rates charged to customers employing onsite generation to cover all or some portion of their load. These policies will apply to any onsite generation facility requiring some level of standby service, whether for supplemental, backup, or maintenance purposes. Such facilities include distributed generation, cogeneration, microcogeneration, and QFs. The PD also adopts the Independent Clean Energy Tariff (ICE-T) proposal.</w:t>
      </w:r>
    </w:p>
    <w:p>
      <w:pPr>
        <w:pStyle w:val="Normal"/>
        <w:ind w:firstLine="720" w:end="0"/>
        <w:rPr/>
      </w:pPr>
      <w:r>
        <w:rPr/>
      </w:r>
    </w:p>
    <w:p>
      <w:pPr>
        <w:pStyle w:val="Normal"/>
        <w:ind w:firstLine="720" w:end="0"/>
        <w:rPr/>
      </w:pPr>
      <w:r>
        <w:rPr>
          <w:i/>
          <w:iCs/>
        </w:rPr>
        <w:t>Holding Company Investigation:</w:t>
      </w:r>
      <w:r>
        <w:rPr/>
        <w:t xml:space="preserve">  Item H-16 is an Order Instituting Investigation (OII) to determine whether the utilities and their respective holding companies have complied with relevant statutes and Commission decisions in the management and oversight of their companies.  The Commission’s attention was drawn to this issue by the utilities’ transfer of billions of dollars to their holding companies since deregulation commenced, and the failure of the holding companies to financially assist the utilities when needed, among other things.  The OII sets a schedule for the Respondent utilities to furnish information within 10 days of the date of the order.</w:t>
      </w:r>
    </w:p>
    <w:p>
      <w:pPr>
        <w:pStyle w:val="Normal"/>
        <w:rPr/>
      </w:pPr>
      <w:r>
        <w:rPr/>
      </w:r>
    </w:p>
    <w:tbl>
      <w:tblPr>
        <w:tblW w:w="9000" w:type="dxa"/>
        <w:jc w:val="start"/>
        <w:tblInd w:w="108" w:type="dxa"/>
        <w:tblLayout w:type="fixed"/>
        <w:tblCellMar>
          <w:top w:w="0" w:type="dxa"/>
          <w:start w:w="108" w:type="dxa"/>
          <w:bottom w:w="0" w:type="dxa"/>
          <w:end w:w="108" w:type="dxa"/>
        </w:tblCellMar>
      </w:tblPr>
      <w:tblGrid>
        <w:gridCol w:w="1458"/>
        <w:gridCol w:w="7542"/>
      </w:tblGrid>
      <w:tr>
        <w:trPr/>
        <w:tc>
          <w:tcPr>
            <w:tcW w:w="1458" w:type="dxa"/>
            <w:tcBorders/>
          </w:tcPr>
          <w:p>
            <w:pPr>
              <w:pStyle w:val="Normal"/>
              <w:rPr>
                <w:b/>
                <w:szCs w:val="20"/>
              </w:rPr>
            </w:pPr>
            <w:r>
              <w:rPr>
                <w:b/>
              </w:rPr>
              <w:t>CA-14</w:t>
            </w:r>
          </w:p>
        </w:tc>
        <w:tc>
          <w:tcPr>
            <w:tcW w:w="7542" w:type="dxa"/>
            <w:tcBorders/>
          </w:tcPr>
          <w:p>
            <w:pPr>
              <w:pStyle w:val="Normal"/>
              <w:rPr/>
            </w:pPr>
            <w:r>
              <w:rPr>
                <w:b/>
              </w:rPr>
              <w:t>A97-12-020 – Pacific Gas &amp; Electric Company (PG&amp;E).</w:t>
              <w:br/>
            </w:r>
            <w:r>
              <w:rPr/>
              <w:t>For authority, among other things, to increase rates and charges for electric and gas service effective on January 1, 1999.  I97-11-026, A94-12-005, I95</w:t>
              <w:noBreakHyphen/>
              <w:t>02</w:t>
              <w:noBreakHyphen/>
              <w:t>015 – Related matters.  This decision resolves PG&amp;E’s March 5, 2001 motion to extend the May 1, 2001 deadline for tendering the Notice of Intent associated with PG&amp;E’s Test Year 2002 general rate case.</w:t>
              <w:br/>
              <w:t>(Com Bilas – ALJ Wetzell)</w:t>
            </w:r>
          </w:p>
          <w:p>
            <w:pPr>
              <w:pStyle w:val="Normal"/>
              <w:rPr>
                <w:szCs w:val="20"/>
              </w:rPr>
            </w:pPr>
            <w:r>
              <w:rPr>
                <w:szCs w:val="20"/>
              </w:rPr>
            </w:r>
          </w:p>
        </w:tc>
      </w:tr>
      <w:tr>
        <w:trPr/>
        <w:tc>
          <w:tcPr>
            <w:tcW w:w="1458" w:type="dxa"/>
            <w:tcBorders/>
          </w:tcPr>
          <w:p>
            <w:pPr>
              <w:pStyle w:val="Normal"/>
              <w:rPr>
                <w:b/>
                <w:szCs w:val="20"/>
              </w:rPr>
            </w:pPr>
            <w:r>
              <w:rPr>
                <w:b/>
              </w:rPr>
              <w:t>CA-37</w:t>
            </w:r>
          </w:p>
        </w:tc>
        <w:tc>
          <w:tcPr>
            <w:tcW w:w="7542" w:type="dxa"/>
            <w:tcBorders/>
          </w:tcPr>
          <w:p>
            <w:pPr>
              <w:pStyle w:val="Normal"/>
              <w:rPr/>
            </w:pPr>
            <w:r>
              <w:rPr>
                <w:b/>
              </w:rPr>
              <w:t>Res G-3295 – Southern California Gas Company (SoCalGas)</w:t>
              <w:br/>
            </w:r>
            <w:r>
              <w:rPr/>
              <w:t>This resolution approves revisions to its application fee and charge structure for recovery of expenses incurred in accepting gas produced in California and delivered into SoCalGas’ pipeline system.</w:t>
              <w:br/>
              <w:t>(Advice Letter 2910, filed April 17, 2000)</w:t>
            </w:r>
          </w:p>
          <w:p>
            <w:pPr>
              <w:pStyle w:val="Normal"/>
              <w:rPr>
                <w:szCs w:val="20"/>
              </w:rPr>
            </w:pPr>
            <w:r>
              <w:rPr>
                <w:szCs w:val="20"/>
              </w:rPr>
            </w:r>
          </w:p>
        </w:tc>
      </w:tr>
      <w:tr>
        <w:trPr/>
        <w:tc>
          <w:tcPr>
            <w:tcW w:w="1458" w:type="dxa"/>
            <w:tcBorders/>
          </w:tcPr>
          <w:p>
            <w:pPr>
              <w:pStyle w:val="Normal"/>
              <w:rPr>
                <w:b/>
                <w:szCs w:val="20"/>
              </w:rPr>
            </w:pPr>
            <w:r>
              <w:rPr>
                <w:b/>
              </w:rPr>
              <w:t>CA-41</w:t>
            </w:r>
          </w:p>
        </w:tc>
        <w:tc>
          <w:tcPr>
            <w:tcW w:w="7542" w:type="dxa"/>
            <w:tcBorders/>
          </w:tcPr>
          <w:p>
            <w:pPr>
              <w:pStyle w:val="Normal"/>
              <w:rPr/>
            </w:pPr>
            <w:r>
              <w:rPr>
                <w:b/>
              </w:rPr>
              <w:t>A00-02-047 – San Diego Gas &amp; Electric Company (SDG&amp;E).</w:t>
              <w:br/>
            </w:r>
            <w:r>
              <w:rPr/>
              <w:t>This decision grants SDG&amp;E’s request to construct Garfield Substation in El Cajon.  This proceeding is closed.</w:t>
              <w:br/>
              <w:t>(Com Brown - ALJ Barnett)</w:t>
            </w:r>
          </w:p>
          <w:p>
            <w:pPr>
              <w:pStyle w:val="Normal"/>
              <w:rPr>
                <w:b/>
                <w:szCs w:val="20"/>
              </w:rPr>
            </w:pPr>
            <w:r>
              <w:rPr>
                <w:b/>
                <w:szCs w:val="20"/>
              </w:rPr>
            </w:r>
          </w:p>
        </w:tc>
      </w:tr>
      <w:tr>
        <w:trPr/>
        <w:tc>
          <w:tcPr>
            <w:tcW w:w="1458" w:type="dxa"/>
            <w:tcBorders/>
          </w:tcPr>
          <w:p>
            <w:pPr>
              <w:pStyle w:val="Normal"/>
              <w:rPr>
                <w:b/>
                <w:szCs w:val="20"/>
              </w:rPr>
            </w:pPr>
            <w:r>
              <w:rPr>
                <w:b/>
              </w:rPr>
              <w:t>CA-44</w:t>
            </w:r>
          </w:p>
        </w:tc>
        <w:tc>
          <w:tcPr>
            <w:tcW w:w="7542" w:type="dxa"/>
            <w:tcBorders/>
          </w:tcPr>
          <w:p>
            <w:pPr>
              <w:pStyle w:val="Normal"/>
              <w:rPr/>
            </w:pPr>
            <w:r>
              <w:rPr>
                <w:b/>
              </w:rPr>
              <w:t>A00-07-006 -</w:t>
            </w:r>
            <w:r>
              <w:rPr/>
              <w:t xml:space="preserve"> </w:t>
            </w:r>
            <w:r>
              <w:rPr>
                <w:b/>
              </w:rPr>
              <w:t>Southern California Edison Company (SCE)</w:t>
            </w:r>
            <w:r>
              <w:rPr/>
              <w:t>.</w:t>
              <w:br/>
              <w:t xml:space="preserve">For authority to issue, sell, and deliver one or more series of Debt Securities and to guarantee the obligations of others in respect of the issuance of Debt Securities, the total aggregate principal amount of such indebtedness and guarantees not to exceed $1,586,840,000; to execute and deliver one or more indentures; to sell, lease, assign, mortgage, or otherwise dispose of or encumber utility property; to issue, sell and deliver in one or more series, an aggregate amount not to exceed $250,000,000 par or stated value of Cumulative Preferred Stock -- $25 Par Value, Cumulative Preferred </w:t>
              <w:br/>
              <w:t>Stock - $100 Par Value, Preference Stock or any combination thereof and for an exemption from the Commission’s Competitive Bidding Rule.  A88</w:t>
              <w:noBreakHyphen/>
              <w:t>03</w:t>
              <w:noBreakHyphen/>
              <w:t>024, A00-07-048, A97-11-032 – Related matters.  Decision granting SCE certain exemptions from the Competitive Bidding Rule pursuant to its Expedited Petition for Modification of D88-07-069, D98</w:t>
              <w:noBreakHyphen/>
              <w:t>02</w:t>
              <w:noBreakHyphen/>
              <w:t>104, D00-10-040 and D00-10-063.  These proceedings are closed.</w:t>
              <w:br/>
              <w:t>(Agenda 3058, CA-35, 2/22/01, Continuation 3/7/01; Agenda 3059, CA-51, 3/15/10; Req – Commission)</w:t>
              <w:br/>
              <w:t>(Exam Evans)</w:t>
            </w:r>
          </w:p>
          <w:p>
            <w:pPr>
              <w:pStyle w:val="Normal"/>
              <w:rPr>
                <w:szCs w:val="20"/>
              </w:rPr>
            </w:pPr>
            <w:r>
              <w:rPr>
                <w:szCs w:val="20"/>
              </w:rPr>
            </w:r>
          </w:p>
        </w:tc>
      </w:tr>
      <w:tr>
        <w:trPr/>
        <w:tc>
          <w:tcPr>
            <w:tcW w:w="1458" w:type="dxa"/>
            <w:tcBorders/>
          </w:tcPr>
          <w:p>
            <w:pPr>
              <w:pStyle w:val="Normal"/>
              <w:rPr>
                <w:b/>
                <w:szCs w:val="20"/>
              </w:rPr>
            </w:pPr>
            <w:r>
              <w:rPr>
                <w:b/>
              </w:rPr>
              <w:t>H-10</w:t>
            </w:r>
          </w:p>
        </w:tc>
        <w:tc>
          <w:tcPr>
            <w:tcW w:w="7542" w:type="dxa"/>
            <w:tcBorders/>
          </w:tcPr>
          <w:p>
            <w:pPr>
              <w:pStyle w:val="Normal"/>
              <w:rPr/>
            </w:pPr>
            <w:r>
              <w:rPr>
                <w:b/>
              </w:rPr>
              <w:t>R99-11-022 - Order Instituting Rulemaking into Implementation of Public Utilities Code Section 390.</w:t>
            </w:r>
            <w:r>
              <w:rPr/>
              <w:br/>
              <w:t xml:space="preserve">This decision resolves the petition to modify the “factor” adopted in </w:t>
              <w:br/>
              <w:t xml:space="preserve">D96-12-028 filed by Southern California Edison Company (SCE).  The Administrative Law Judge further expanded the scope of the proceeding to consider modifications to the natural gas price indices adopted in </w:t>
              <w:br/>
              <w:t>D96-12-028.  This decision adopts a formula, to be updated monthly, to revise SCE’s factor adopted in D96-12-028 and adopts an alternative gas index to replace the Topock index adopted in D96-12-028.  This decision also establishes a ceiling price for payments to qualifying facilities of $67.45 per megawatt-hour based on the reasonableness standard described by the Federal Energy Regulatory Commission in 93 FERC ¶ 61,294.</w:t>
              <w:br/>
              <w:t>(Com Wood - ALJ Cooke)</w:t>
              <w:br/>
              <w:t>(Agenda 3053, Item 12, 12/21/00; Agenda 3054, Item H-14, 1/4/01; Agenda 3055, Item H-8, 1/18/01, Continuation 1/26/01, Continuation 1/31/01; Agenda 3057, Item H-13, 2/8/01, Continuation 2/15/01; Agenda 3059, Item H-14, 3/15/01; Req – Commission)</w:t>
            </w:r>
          </w:p>
          <w:p>
            <w:pPr>
              <w:pStyle w:val="Normal"/>
              <w:rPr>
                <w:b/>
                <w:szCs w:val="20"/>
              </w:rPr>
            </w:pPr>
            <w:r>
              <w:rPr>
                <w:b/>
                <w:szCs w:val="20"/>
              </w:rPr>
            </w:r>
          </w:p>
        </w:tc>
      </w:tr>
      <w:tr>
        <w:trPr/>
        <w:tc>
          <w:tcPr>
            <w:tcW w:w="1458" w:type="dxa"/>
            <w:tcBorders/>
          </w:tcPr>
          <w:p>
            <w:pPr>
              <w:pStyle w:val="Normal"/>
              <w:rPr>
                <w:b/>
                <w:szCs w:val="20"/>
              </w:rPr>
            </w:pPr>
            <w:r>
              <w:rPr>
                <w:b/>
              </w:rPr>
              <w:t>H-11</w:t>
            </w:r>
          </w:p>
        </w:tc>
        <w:tc>
          <w:tcPr>
            <w:tcW w:w="7542" w:type="dxa"/>
            <w:tcBorders/>
          </w:tcPr>
          <w:p>
            <w:pPr>
              <w:pStyle w:val="Normal"/>
              <w:rPr/>
            </w:pPr>
            <w:r>
              <w:rPr>
                <w:b/>
              </w:rPr>
              <w:t>R94-04-031 - Order Instituting Rulemaking on the Commission’s proposed policies governing restructuring California’s electric services industry and reforming regulation.  I94-04-032 - Related matter.</w:t>
            </w:r>
            <w:r>
              <w:rPr/>
              <w:br/>
              <w:t xml:space="preserve">Order clarifying and modifying D00-08-023 and D.00-09-075, and establishing guidelines for prudent electric market bilateral forward contracting for Pacific Gas and Electric Company, Southern California Edison Company, and San Diego Gas &amp; Electric Company, pursuant to D00-12-065 and related comments subsequently filed. </w:t>
              <w:br/>
              <w:t>(Com Lynch - ALJ Cooke)</w:t>
              <w:br/>
              <w:t>(Agenda 3055, Item 6, 1/18/01, Continuation 1/26/01, Continuation 1/31/01; Agenda 3057, Item H-14, 2/8/01, Continuation 2/15/01; Agenda 3058, H</w:t>
              <w:noBreakHyphen/>
              <w:t>15, 2/22/01, Continuation 3/7/01; Agenda 3059, Item H-15, 3/15/01; Req </w:t>
              <w:noBreakHyphen/>
              <w:t> Commission)</w:t>
            </w:r>
          </w:p>
          <w:p>
            <w:pPr>
              <w:pStyle w:val="Normal"/>
              <w:rPr>
                <w:szCs w:val="20"/>
              </w:rPr>
            </w:pPr>
            <w:r>
              <w:rPr>
                <w:szCs w:val="20"/>
              </w:rPr>
            </w:r>
          </w:p>
        </w:tc>
      </w:tr>
      <w:tr>
        <w:trPr/>
        <w:tc>
          <w:tcPr>
            <w:tcW w:w="1458" w:type="dxa"/>
            <w:tcBorders/>
          </w:tcPr>
          <w:p>
            <w:pPr>
              <w:pStyle w:val="Normal"/>
              <w:rPr>
                <w:b/>
                <w:szCs w:val="20"/>
              </w:rPr>
            </w:pPr>
            <w:r>
              <w:rPr>
                <w:b/>
              </w:rPr>
              <w:t>H-11a</w:t>
            </w:r>
          </w:p>
        </w:tc>
        <w:tc>
          <w:tcPr>
            <w:tcW w:w="7542" w:type="dxa"/>
            <w:tcBorders/>
          </w:tcPr>
          <w:p>
            <w:pPr>
              <w:pStyle w:val="Normal"/>
              <w:rPr/>
            </w:pPr>
            <w:r>
              <w:rPr>
                <w:b/>
              </w:rPr>
              <w:t>ALTERNATE ORDER TO ITEM H-11.</w:t>
            </w:r>
            <w:r>
              <w:rPr/>
              <w:t xml:space="preserve">  This alternate order adopts a total generation cost benchmark of 6¢/kilowatt hour for Pacific Gas and Electric Company, Southern California Edison Company and San Diego Gas &amp; Electric Company.  The utilities are provided the flexibility to enter into appropriate contracts and financial instruments to meet this benchmark and will not be subject to reasonableness review if the benchmark is met.</w:t>
              <w:br/>
              <w:t>(ALJ Cooke)</w:t>
              <w:br/>
              <w:t>(Agenda 3055, Item 6a, 1/18/01, Continuation 1/26/01, Continuation 1/31/01; Agenda 3057, Item H-14a, 2/8/01, Continuation 2/15/01; Agenda 3058, H</w:t>
              <w:noBreakHyphen/>
              <w:t>15a, 2/22/01, Continuation 3/7/01; Agenda 3059, Item H-15a, 3/15/01; Req </w:t>
              <w:noBreakHyphen/>
              <w:t> Commission)</w:t>
            </w:r>
          </w:p>
          <w:p>
            <w:pPr>
              <w:pStyle w:val="Normal"/>
              <w:rPr>
                <w:szCs w:val="20"/>
              </w:rPr>
            </w:pPr>
            <w:r>
              <w:rPr>
                <w:szCs w:val="20"/>
              </w:rPr>
            </w:r>
          </w:p>
        </w:tc>
      </w:tr>
      <w:tr>
        <w:trPr>
          <w:trHeight w:val="3690" w:hRule="atLeast"/>
        </w:trPr>
        <w:tc>
          <w:tcPr>
            <w:tcW w:w="1458" w:type="dxa"/>
            <w:tcBorders/>
          </w:tcPr>
          <w:p>
            <w:pPr>
              <w:pStyle w:val="Normal"/>
              <w:rPr>
                <w:b/>
                <w:szCs w:val="20"/>
              </w:rPr>
            </w:pPr>
            <w:r>
              <w:rPr>
                <w:b/>
              </w:rPr>
              <w:t>H-12</w:t>
            </w:r>
          </w:p>
        </w:tc>
        <w:tc>
          <w:tcPr>
            <w:tcW w:w="7542" w:type="dxa"/>
            <w:tcBorders/>
          </w:tcPr>
          <w:p>
            <w:pPr>
              <w:pStyle w:val="Normal"/>
              <w:rPr>
                <w:szCs w:val="20"/>
              </w:rPr>
            </w:pPr>
            <w:r>
              <w:rPr>
                <w:b/>
              </w:rPr>
              <w:t>A00-09-020 - Pacific Gas and Electric Company (PG&amp;E).</w:t>
              <w:br/>
            </w:r>
            <w:r>
              <w:rPr/>
              <w:t>For an order modifying D87-09-056 (A87-08-008) and authorizing it to issue short-term debt securities in an aggregate principal amount of $2,692,638,219 in excess of that authorized by Public Utilities Code Section 823(c).  This decision grants the petition to modify D00-10-065 filed by PG&amp;E.  PG&amp;E is authorized to issue $4 billion of additional debt for the purpose of financing the purchase of wholesale electricity for delivery to its retail customers.</w:t>
              <w:br/>
              <w:t>(Com Wood - ALJ Kenney)</w:t>
              <w:br/>
              <w:t>(Agenda 3055, Item 8, 1/18/01, Continuation 1/26/01, Continuation 1/31/01; Agenda 3057, Item H-16, 2/8/01, Continuation 2/15/01; Agenda 3058, H</w:t>
              <w:noBreakHyphen/>
              <w:t>16, 2/22/01, Continuation 3/7/01; Agenda 3059, Item H-16, 3/15/01; Req </w:t>
              <w:noBreakHyphen/>
              <w:t> Commission)</w:t>
            </w:r>
          </w:p>
        </w:tc>
      </w:tr>
      <w:tr>
        <w:trPr/>
        <w:tc>
          <w:tcPr>
            <w:tcW w:w="1458" w:type="dxa"/>
            <w:tcBorders/>
          </w:tcPr>
          <w:p>
            <w:pPr>
              <w:pStyle w:val="Normal"/>
              <w:rPr>
                <w:b/>
                <w:szCs w:val="20"/>
              </w:rPr>
            </w:pPr>
            <w:r>
              <w:rPr>
                <w:b/>
              </w:rPr>
              <w:t>H-13</w:t>
            </w:r>
          </w:p>
        </w:tc>
        <w:tc>
          <w:tcPr>
            <w:tcW w:w="7542" w:type="dxa"/>
            <w:tcBorders/>
          </w:tcPr>
          <w:p>
            <w:pPr>
              <w:pStyle w:val="Normal"/>
              <w:rPr>
                <w:szCs w:val="20"/>
              </w:rPr>
            </w:pPr>
            <w:r>
              <w:rPr>
                <w:b/>
              </w:rPr>
              <w:t>A00-10-029 - Pacific Gas and Electric Company (PG&amp;E).</w:t>
              <w:br/>
            </w:r>
            <w:r>
              <w:rPr/>
              <w:t>For authority to issue, sell, and deliver one or more series of its First Refunding Mortgage Bonds, debentures, subordinated deferrable interest debentures, promissory notes and/or other evidences of indebtedness in connection with domestic or euro-market offerings, to guarantee the obligations of others in respect of the issuance of securities and to arrange for standby letters of credit as performance guarantees, the total aggregate principal amount of such issuances and guarantees not to exceed $2 billion; (2) enter into one or more interest rate caps, collars and swaps; (3) issue variable rate debt (including fixed rate debt swapped to a variable rate) to finance balancing account undercollections; and (4) obtain an exemption from the Competitive Bidding Rule.  This decision grants the petition to modify D00-12-064 filed by PG&amp;E.  PG&amp;E is authorized to issue $4 billion of additional debt for the purpose of financing the purchase of wholesale electricity for delivery to its retail customers.</w:t>
              <w:br/>
              <w:t>(Com Wood - ALJ Kenney)</w:t>
              <w:br/>
              <w:t>(Agenda 3055, Item 9, 1/18/01, Continuation 1/26/01, Continuation 1/31/01; Agenda 3057, Item H-17, 2/8/01, Continuation 2/15/01; Agenda 3058, H</w:t>
              <w:noBreakHyphen/>
              <w:t>17, 2/22/01, Continuation 3/7/01; Agenda 3059, Item H-17, 3/15/01; Req </w:t>
              <w:noBreakHyphen/>
              <w:t> Commission)</w:t>
            </w:r>
          </w:p>
        </w:tc>
      </w:tr>
      <w:tr>
        <w:trPr/>
        <w:tc>
          <w:tcPr>
            <w:tcW w:w="1458" w:type="dxa"/>
            <w:tcBorders/>
          </w:tcPr>
          <w:p>
            <w:pPr>
              <w:pStyle w:val="Normal"/>
              <w:rPr>
                <w:szCs w:val="20"/>
              </w:rPr>
            </w:pPr>
            <w:r>
              <w:rPr>
                <w:b/>
              </w:rPr>
              <w:t>H-13a</w:t>
              <w:br/>
            </w:r>
          </w:p>
        </w:tc>
        <w:tc>
          <w:tcPr>
            <w:tcW w:w="7542" w:type="dxa"/>
            <w:tcBorders/>
          </w:tcPr>
          <w:p>
            <w:pPr>
              <w:pStyle w:val="Normal"/>
              <w:rPr>
                <w:szCs w:val="20"/>
              </w:rPr>
            </w:pPr>
            <w:r>
              <w:rPr>
                <w:b/>
              </w:rPr>
              <w:t xml:space="preserve">ALTERNATE ORDER TO ITEM H-13.  </w:t>
            </w:r>
            <w:r>
              <w:rPr/>
              <w:t>This alternate order grants the petition to modify D00-12-064 filed by Pacific Gas and Electric Company (PG&amp;E).  PG&amp;E is authorized to issue $4 billion of additional debt for purposes of financing the purchase of wholesale electricity for delivery to its retail customers.  This alternate does contain the prohibition against the pledge of assets set forth in the proposed decision.  This alternate, unlike the proposed decision, also does not impose the pledge of assets prohibition on the previous financing authority issued to PG&amp;E.</w:t>
              <w:br/>
              <w:t>(Com Duque)</w:t>
              <w:br/>
              <w:t>(Agenda 3057, Item H-17a, 2/8/01, Continuation 2/15/01; Agenda 3058, H</w:t>
              <w:noBreakHyphen/>
              <w:t>17a, 2/22/01, Continuation 3/7/01; Agenda 3059, Item H-17a, 3/15/01; Req </w:t>
              <w:noBreakHyphen/>
              <w:t> Commission)</w:t>
            </w:r>
          </w:p>
        </w:tc>
      </w:tr>
      <w:tr>
        <w:trPr/>
        <w:tc>
          <w:tcPr>
            <w:tcW w:w="1458" w:type="dxa"/>
            <w:tcBorders/>
          </w:tcPr>
          <w:p>
            <w:pPr>
              <w:pStyle w:val="Normal"/>
              <w:rPr>
                <w:b/>
                <w:szCs w:val="20"/>
              </w:rPr>
            </w:pPr>
            <w:r>
              <w:rPr>
                <w:b/>
              </w:rPr>
              <w:t>H-14</w:t>
            </w:r>
          </w:p>
        </w:tc>
        <w:tc>
          <w:tcPr>
            <w:tcW w:w="7542" w:type="dxa"/>
            <w:tcBorders/>
          </w:tcPr>
          <w:p>
            <w:pPr>
              <w:pStyle w:val="Normal"/>
              <w:rPr>
                <w:szCs w:val="20"/>
              </w:rPr>
            </w:pPr>
            <w:r>
              <w:rPr>
                <w:b/>
              </w:rPr>
              <w:t>A01-01-024 - Pacific Gas and Electric Company (PG&amp;E).</w:t>
            </w:r>
            <w:r>
              <w:rPr/>
              <w:br/>
              <w:t>For an immediate finding of a gas supply emergency and an order directing Southern California Gas Company (SoCalGas) to provide mutual assistance.  This decision addresses the emergency application of PG&amp;E.  PG&amp;E’s application seeks an order finding that a gas supply emergency exists and that SoCalGas be ordered to provide mutual assistance by supplying gas to core customers on PG&amp;E’s system.</w:t>
              <w:br/>
              <w:t>(Com Lynch - ALJ Wong)</w:t>
              <w:br/>
              <w:t>(Agenda 3057, Item 5, 2/8/01, Continuation 2/15/01; Agenda 3058, H-20, 2/22/01, Continuation 3/7/01; Agenda 3059, Item H-19, 3/15/01;</w:t>
            </w:r>
          </w:p>
          <w:p>
            <w:pPr>
              <w:pStyle w:val="Normal"/>
              <w:rPr>
                <w:szCs w:val="20"/>
              </w:rPr>
            </w:pPr>
            <w:r>
              <w:rPr/>
              <w:t>Req – Commission)</w:t>
            </w:r>
          </w:p>
        </w:tc>
      </w:tr>
      <w:tr>
        <w:trPr/>
        <w:tc>
          <w:tcPr>
            <w:tcW w:w="1458" w:type="dxa"/>
            <w:tcBorders/>
          </w:tcPr>
          <w:p>
            <w:pPr>
              <w:pStyle w:val="Normal"/>
              <w:rPr>
                <w:b/>
                <w:szCs w:val="20"/>
              </w:rPr>
            </w:pPr>
            <w:r>
              <w:rPr>
                <w:b/>
              </w:rPr>
              <w:t>H-15</w:t>
            </w:r>
          </w:p>
        </w:tc>
        <w:tc>
          <w:tcPr>
            <w:tcW w:w="7542" w:type="dxa"/>
            <w:tcBorders/>
          </w:tcPr>
          <w:p>
            <w:pPr>
              <w:pStyle w:val="Normal"/>
              <w:rPr>
                <w:szCs w:val="20"/>
              </w:rPr>
            </w:pPr>
            <w:r>
              <w:rPr>
                <w:b/>
              </w:rPr>
              <w:t>R00-10-002 - 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br/>
            </w:r>
            <w:r>
              <w:rPr/>
              <w:t>This decision addresses utility tariffs for interruptible service.</w:t>
              <w:br/>
              <w:t>(Com Wood - ALJ Mattson)</w:t>
              <w:br/>
              <w:t>(Agenda 3057, Item 6, 2/8/01, Continuation 2/15/01, Agenda 3058, H-21, 2/22/01, Continuation 3/7/01; Agenda 3059, Item H-20, 3/15/01; Req </w:t>
              <w:noBreakHyphen/>
              <w:t> Commission)</w:t>
              <w:br/>
            </w:r>
          </w:p>
        </w:tc>
      </w:tr>
      <w:tr>
        <w:trPr>
          <w:trHeight w:val="5490" w:hRule="atLeast"/>
        </w:trPr>
        <w:tc>
          <w:tcPr>
            <w:tcW w:w="1458" w:type="dxa"/>
            <w:tcBorders/>
          </w:tcPr>
          <w:p>
            <w:pPr>
              <w:pStyle w:val="Normal"/>
              <w:rPr>
                <w:szCs w:val="20"/>
              </w:rPr>
            </w:pPr>
            <w:r>
              <w:rPr>
                <w:b/>
              </w:rPr>
              <w:t>H-16</w:t>
            </w:r>
          </w:p>
        </w:tc>
        <w:tc>
          <w:tcPr>
            <w:tcW w:w="7542" w:type="dxa"/>
            <w:tcBorders/>
          </w:tcPr>
          <w:p>
            <w:pPr>
              <w:pStyle w:val="Normal"/>
              <w:rPr>
                <w:szCs w:val="20"/>
              </w:rPr>
            </w:pPr>
            <w:r>
              <w:rPr>
                <w:b/>
              </w:rPr>
              <w:t>I__________ - Order Instituting Investigation whether respondents Pacific Gas and Electric Company (PG&amp;E), San Diego Gas &amp; Electric Company (SDG&amp;E), Southern California Edison Company (SCE), PG&amp;E Corporation, Edison International, and Sempra Energy have complied with past Commission decisions authorizing their holding company formations, as well as applicable statutes, and whether additional rules or changes are needed to address changing circumstances and recent events.</w:t>
              <w:br/>
            </w:r>
            <w:r>
              <w:rPr/>
              <w:t>In this Order Instituting Investigation, the Commission will review whether respondents PG&amp;E, SDG&amp;E, SCE, PG&amp;E Corporation, Edison International, and Sempra Energy have complied with past Commission decisions authorizing their holding company formations, as well as applicable statutes.  The Commission may also inquire whether additional rules or changes are needed to address changing circumstances and recent events.  The Commission may impose other prospective rules, conditions, or other remedies, as appropriate, that may result from this inquiry.</w:t>
              <w:br/>
              <w:t>(Com Lynch)</w:t>
            </w:r>
            <w:r>
              <w:rPr>
                <w:b/>
              </w:rPr>
              <w:br/>
            </w:r>
            <w:r>
              <w:rPr/>
              <w:t xml:space="preserve">(Agenda 3057, Item 7, 2/8/01, Continuation 2/15/01, Agenda 3058, H-22, 2/22/01, Continuation 3/7/01; Agenda 3059, Item H-21, 3/15/01; </w:t>
            </w:r>
          </w:p>
          <w:p>
            <w:pPr>
              <w:pStyle w:val="Normal"/>
              <w:rPr>
                <w:b/>
                <w:szCs w:val="20"/>
              </w:rPr>
            </w:pPr>
            <w:r>
              <w:rPr/>
              <w:t>Req – Commission)</w:t>
            </w:r>
          </w:p>
        </w:tc>
      </w:tr>
      <w:tr>
        <w:trPr/>
        <w:tc>
          <w:tcPr>
            <w:tcW w:w="1458" w:type="dxa"/>
            <w:tcBorders/>
          </w:tcPr>
          <w:p>
            <w:pPr>
              <w:pStyle w:val="Normal"/>
              <w:rPr>
                <w:szCs w:val="20"/>
              </w:rPr>
            </w:pPr>
            <w:r>
              <w:rPr>
                <w:b/>
              </w:rPr>
              <w:t>H-17</w:t>
            </w:r>
          </w:p>
        </w:tc>
        <w:tc>
          <w:tcPr>
            <w:tcW w:w="7542" w:type="dxa"/>
            <w:tcBorders/>
          </w:tcPr>
          <w:p>
            <w:pPr>
              <w:pStyle w:val="Normal"/>
              <w:rPr>
                <w:szCs w:val="20"/>
              </w:rPr>
            </w:pPr>
            <w:r>
              <w:rPr>
                <w:b/>
              </w:rPr>
              <w:t>R99-11-022 - Order Instituting Rulemaking into Implementation of Pub. Util. Code § 390.</w:t>
              <w:br/>
            </w:r>
            <w:r>
              <w:rPr/>
              <w:t>This item considers potential revisions to qualifying facility (QF) pricing resulting from recent legislative activity/settlement discussions.  It also addresses payments to QFs.</w:t>
              <w:br/>
              <w:t>(Com Wood - ALJ Cooke)</w:t>
              <w:br/>
              <w:t xml:space="preserve">(Agenda 3057, Item 8, 2/8/01, Continuation 2/15/01; Agenda 3058, H-23, 2/22/01, Continuation 3/7/01; Agenda 3059, Item 17, 3/15/01; </w:t>
            </w:r>
          </w:p>
          <w:p>
            <w:pPr>
              <w:pStyle w:val="Normal"/>
              <w:rPr>
                <w:szCs w:val="20"/>
              </w:rPr>
            </w:pPr>
            <w:r>
              <w:rPr/>
              <w:t>Req – Commission)</w:t>
            </w:r>
          </w:p>
        </w:tc>
      </w:tr>
      <w:tr>
        <w:trPr/>
        <w:tc>
          <w:tcPr>
            <w:tcW w:w="1458" w:type="dxa"/>
            <w:tcBorders/>
          </w:tcPr>
          <w:p>
            <w:pPr>
              <w:pStyle w:val="Normal"/>
              <w:rPr>
                <w:b/>
                <w:szCs w:val="20"/>
              </w:rPr>
            </w:pPr>
            <w:r>
              <w:rPr>
                <w:b/>
              </w:rPr>
              <w:t>H-22</w:t>
            </w:r>
          </w:p>
        </w:tc>
        <w:tc>
          <w:tcPr>
            <w:tcW w:w="7542" w:type="dxa"/>
            <w:tcBorders/>
          </w:tcPr>
          <w:p>
            <w:pPr>
              <w:pStyle w:val="Normal"/>
              <w:rPr>
                <w:b/>
                <w:szCs w:val="20"/>
              </w:rPr>
            </w:pPr>
            <w:r>
              <w:rPr>
                <w:b/>
              </w:rPr>
              <w:t>A00-11-025 – San Diego Gas &amp; Electric Company (SDG&amp;E)</w:t>
              <w:br/>
            </w:r>
            <w:r>
              <w:rPr/>
              <w:t>For authority to incur additional indebtedness for working capital purposes in an aggregate principal amount not to exceed $800 million, inclusive of amounts otherwise authorized by Public Utilities Code Section 823, at any one time outstanding.  This decision addresses the petition to modify D01</w:t>
              <w:noBreakHyphen/>
              <w:t>01-011 filed by SDG&amp;E.  In its petition, SDG&amp;E asks the Commission to modify D01</w:t>
              <w:noBreakHyphen/>
              <w:t>02</w:t>
              <w:noBreakHyphen/>
              <w:t>011 to grant SDG&amp;E authority to issue debt secured by a pledge of SDG&amp;E’s property, plant, and equipment for the purpose of financing the undercollection in SDG&amp;E’s Energy Rate Ceiling Revenue Shortfall Account.</w:t>
              <w:br/>
              <w:t>(Com Wood – ALJ Kenney)</w:t>
            </w:r>
            <w:r>
              <w:rPr>
                <w:b/>
              </w:rPr>
              <w:br/>
            </w:r>
            <w:r>
              <w:rPr/>
              <w:t>(Agenda 3059, Item 6, 3/15/01; Req – Commission)</w:t>
            </w:r>
          </w:p>
        </w:tc>
      </w:tr>
      <w:tr>
        <w:trPr/>
        <w:tc>
          <w:tcPr>
            <w:tcW w:w="1458" w:type="dxa"/>
            <w:tcBorders/>
          </w:tcPr>
          <w:p>
            <w:pPr>
              <w:pStyle w:val="Normal"/>
              <w:rPr>
                <w:b/>
                <w:szCs w:val="20"/>
              </w:rPr>
            </w:pPr>
            <w:r>
              <w:rPr>
                <w:b/>
              </w:rPr>
              <w:t>H-23</w:t>
            </w:r>
          </w:p>
        </w:tc>
        <w:tc>
          <w:tcPr>
            <w:tcW w:w="7542" w:type="dxa"/>
            <w:tcBorders/>
          </w:tcPr>
          <w:p>
            <w:pPr>
              <w:pStyle w:val="Normal"/>
              <w:rPr>
                <w:b/>
                <w:szCs w:val="20"/>
              </w:rPr>
            </w:pPr>
            <w:r>
              <w:rPr>
                <w:b/>
              </w:rPr>
              <w:t>A00-11-038 –</w:t>
            </w:r>
            <w:r>
              <w:rPr/>
              <w:t xml:space="preserve"> </w:t>
            </w:r>
            <w:r>
              <w:rPr>
                <w:b/>
              </w:rPr>
              <w:t>Southern California Edison Company (SCE)</w:t>
            </w:r>
            <w:r>
              <w:rPr/>
              <w:t>.</w:t>
              <w:br/>
              <w:t xml:space="preserve">For authority to institute a rate stabilization plan with a rate increase and end of rate freeze tariffs.  A00-11-056, A00-10-028 – Related matters.  </w:t>
              <w:br/>
              <w:t>This decision considers a minimum calculation for the California Procurement Adjustment to allow the Department of Water Resources to obtain minimum financing.</w:t>
              <w:br/>
              <w:t>(Com Lynch – ALJ DeUlloa)</w:t>
              <w:br/>
              <w:t>(Agenda 3059, Item 7, 3/15/01; Req – Commission)</w:t>
            </w:r>
          </w:p>
        </w:tc>
      </w:tr>
      <w:tr>
        <w:trPr/>
        <w:tc>
          <w:tcPr>
            <w:tcW w:w="1458" w:type="dxa"/>
            <w:tcBorders/>
          </w:tcPr>
          <w:p>
            <w:pPr>
              <w:pStyle w:val="Normal"/>
              <w:rPr>
                <w:b/>
                <w:szCs w:val="20"/>
              </w:rPr>
            </w:pPr>
            <w:r>
              <w:rPr>
                <w:b/>
              </w:rPr>
              <w:t>H-24</w:t>
            </w:r>
          </w:p>
        </w:tc>
        <w:tc>
          <w:tcPr>
            <w:tcW w:w="7542" w:type="dxa"/>
            <w:tcBorders/>
          </w:tcPr>
          <w:p>
            <w:pPr>
              <w:pStyle w:val="Normal"/>
              <w:rPr>
                <w:b/>
                <w:szCs w:val="20"/>
              </w:rPr>
            </w:pPr>
            <w:r>
              <w:rPr>
                <w:b/>
              </w:rPr>
              <w:t>A00-11-038 –</w:t>
            </w:r>
            <w:r>
              <w:rPr/>
              <w:t xml:space="preserve"> </w:t>
            </w:r>
            <w:r>
              <w:rPr>
                <w:b/>
              </w:rPr>
              <w:t>Southern California Edison Company (SCE)</w:t>
            </w:r>
            <w:r>
              <w:rPr/>
              <w:t>.</w:t>
              <w:br/>
              <w:t>For authority to institute a rate stabilization plan with a rate increase and end of rate freeze tariffs.  A00-11-056, A00-10-028 – Related matters.</w:t>
              <w:br/>
              <w:t>This decision considers an agreement between the California Public Utilities Commission and the Department of Water Resources, to be treated as a financing order.</w:t>
              <w:br/>
              <w:t>(Com Lynch – ALJ DeUlloa)</w:t>
              <w:br/>
              <w:t>(Agenda 3059, Item 8, 3/15/01; Req – Commission)</w:t>
            </w:r>
          </w:p>
        </w:tc>
      </w:tr>
      <w:tr>
        <w:trPr/>
        <w:tc>
          <w:tcPr>
            <w:tcW w:w="1458" w:type="dxa"/>
            <w:tcBorders/>
          </w:tcPr>
          <w:p>
            <w:pPr>
              <w:pStyle w:val="Normal"/>
              <w:rPr>
                <w:b/>
                <w:szCs w:val="20"/>
              </w:rPr>
            </w:pPr>
            <w:r>
              <w:rPr>
                <w:b/>
              </w:rPr>
              <w:t>H-25</w:t>
            </w:r>
          </w:p>
        </w:tc>
        <w:tc>
          <w:tcPr>
            <w:tcW w:w="7542" w:type="dxa"/>
            <w:tcBorders/>
          </w:tcPr>
          <w:p>
            <w:pPr>
              <w:pStyle w:val="Normal"/>
              <w:rPr>
                <w:b/>
                <w:szCs w:val="20"/>
              </w:rPr>
            </w:pPr>
            <w:r>
              <w:rPr>
                <w:b/>
              </w:rPr>
              <w:t>A00-11-038 –</w:t>
            </w:r>
            <w:r>
              <w:rPr/>
              <w:t xml:space="preserve"> </w:t>
            </w:r>
            <w:r>
              <w:rPr>
                <w:b/>
              </w:rPr>
              <w:t>Southern California Edison Company (SCE)</w:t>
            </w:r>
            <w:r>
              <w:rPr/>
              <w:t>.</w:t>
              <w:br/>
              <w:t>For authority to institute a rate stabilization plan with a rate increase and end of rate freeze tariffs.  A00-11-056, A00-10-028 – Related matters.</w:t>
              <w:br/>
              <w:t>This decision considers the interim flow of funds to the California Department of Water Resources out of the rates currently being collected by the electric utilities.</w:t>
              <w:br/>
              <w:t>(Com Lynch - ALJ DeUlloa)</w:t>
              <w:br/>
              <w:t>(Agenda 3059, Item 9, 3/15/01; Req – Commission)</w:t>
            </w:r>
          </w:p>
        </w:tc>
      </w:tr>
      <w:tr>
        <w:trPr>
          <w:trHeight w:val="1233" w:hRule="atLeast"/>
        </w:trPr>
        <w:tc>
          <w:tcPr>
            <w:tcW w:w="1458" w:type="dxa"/>
            <w:tcBorders/>
          </w:tcPr>
          <w:p>
            <w:pPr>
              <w:pStyle w:val="Normal"/>
              <w:rPr>
                <w:b/>
                <w:szCs w:val="20"/>
              </w:rPr>
            </w:pPr>
            <w:r>
              <w:rPr>
                <w:b/>
              </w:rPr>
              <w:t>3</w:t>
            </w:r>
          </w:p>
        </w:tc>
        <w:tc>
          <w:tcPr>
            <w:tcW w:w="7542" w:type="dxa"/>
            <w:tcBorders/>
          </w:tcPr>
          <w:p>
            <w:pPr>
              <w:pStyle w:val="Normal"/>
              <w:rPr>
                <w:szCs w:val="20"/>
              </w:rPr>
            </w:pPr>
            <w:r>
              <w:rPr>
                <w:b/>
              </w:rPr>
              <w:t xml:space="preserve">A00-05-031 – Pacific Gas and Electric Company (PG&amp;E). </w:t>
              <w:br/>
            </w:r>
            <w:r>
              <w:rPr/>
              <w:t>For authority to establish market value for and to sell its Kern Facility pursuant to Pub. Util. Code §§ 367(b) and 851. This decision denies the application and orders PG&amp;E to prepare a feasibility study of restoring the Kern Facility to operational status.</w:t>
              <w:br/>
              <w:t>(Com Lynch – ALJ Henderson)</w:t>
            </w:r>
          </w:p>
        </w:tc>
      </w:tr>
      <w:tr>
        <w:trPr/>
        <w:tc>
          <w:tcPr>
            <w:tcW w:w="1458" w:type="dxa"/>
            <w:tcBorders/>
          </w:tcPr>
          <w:p>
            <w:pPr>
              <w:pStyle w:val="Normal"/>
              <w:rPr>
                <w:b/>
                <w:szCs w:val="20"/>
              </w:rPr>
            </w:pPr>
            <w:r>
              <w:rPr>
                <w:b/>
              </w:rPr>
              <w:t>4</w:t>
            </w:r>
          </w:p>
        </w:tc>
        <w:tc>
          <w:tcPr>
            <w:tcW w:w="7542" w:type="dxa"/>
            <w:tcBorders/>
          </w:tcPr>
          <w:p>
            <w:pPr>
              <w:pStyle w:val="Normal"/>
              <w:rPr>
                <w:b/>
                <w:szCs w:val="20"/>
              </w:rPr>
            </w:pPr>
            <w:r>
              <w:rPr>
                <w:b/>
              </w:rPr>
              <w:t>A00-11-038 –</w:t>
            </w:r>
            <w:r>
              <w:rPr/>
              <w:t xml:space="preserve"> </w:t>
            </w:r>
            <w:r>
              <w:rPr>
                <w:b/>
              </w:rPr>
              <w:t>Southern California Edison Company (SCE)</w:t>
            </w:r>
            <w:r>
              <w:rPr/>
              <w:t>.</w:t>
              <w:br/>
              <w:t>For authority to institute a rate stabilization plan with a rate increase and end of rate freeze tariffs.  A00-11-056, A00-10-028 – Related matters.</w:t>
              <w:br/>
              <w:t>This decision addresses the Commission’s obligation to establish a California Procurement Adjustment under California Pub. Util. Code § 360.5.</w:t>
              <w:br/>
              <w:t>(Com Lynch - ALJ DeUlloa)</w:t>
            </w:r>
          </w:p>
        </w:tc>
      </w:tr>
      <w:tr>
        <w:trPr/>
        <w:tc>
          <w:tcPr>
            <w:tcW w:w="1458" w:type="dxa"/>
            <w:tcBorders/>
          </w:tcPr>
          <w:p>
            <w:pPr>
              <w:pStyle w:val="Normal"/>
              <w:rPr>
                <w:b/>
                <w:szCs w:val="20"/>
              </w:rPr>
            </w:pPr>
            <w:r>
              <w:rPr>
                <w:b/>
              </w:rPr>
              <w:t>5</w:t>
            </w:r>
          </w:p>
        </w:tc>
        <w:tc>
          <w:tcPr>
            <w:tcW w:w="7542" w:type="dxa"/>
            <w:tcBorders/>
          </w:tcPr>
          <w:p>
            <w:pPr>
              <w:pStyle w:val="Normal"/>
              <w:rPr>
                <w:b/>
                <w:szCs w:val="20"/>
              </w:rPr>
            </w:pPr>
            <w:r>
              <w:rPr>
                <w:b/>
              </w:rPr>
              <w:t>A00-11-038 –</w:t>
            </w:r>
            <w:r>
              <w:rPr/>
              <w:t xml:space="preserve"> </w:t>
            </w:r>
            <w:r>
              <w:rPr>
                <w:b/>
              </w:rPr>
              <w:t>Southern California Edison Company (SCE)</w:t>
            </w:r>
            <w:r>
              <w:rPr/>
              <w:t>.</w:t>
              <w:br/>
              <w:t>For authority to institute a rate stabilization plan with a rate increase and end of rate freeze tariffs.  A00-11-056, A00-10-028 – Related matters.</w:t>
              <w:br/>
            </w:r>
            <w:r>
              <w:rPr>
                <w:color w:val="000000"/>
              </w:rPr>
              <w:t>This decision addresses the interim surcharge adopted in D01-01-018 and also the Phase I issues that were the subject of hearings February 20th - March 2, 2001.</w:t>
              <w:br/>
              <w:t>(Com Lynch - ALJ Walwyn)</w:t>
            </w:r>
          </w:p>
        </w:tc>
      </w:tr>
      <w:tr>
        <w:trPr/>
        <w:tc>
          <w:tcPr>
            <w:tcW w:w="1458" w:type="dxa"/>
            <w:tcBorders/>
          </w:tcPr>
          <w:p>
            <w:pPr>
              <w:pStyle w:val="Normal"/>
              <w:rPr>
                <w:b/>
                <w:szCs w:val="20"/>
              </w:rPr>
            </w:pPr>
            <w:r>
              <w:rPr>
                <w:b/>
              </w:rPr>
              <w:t>6</w:t>
            </w:r>
          </w:p>
        </w:tc>
        <w:tc>
          <w:tcPr>
            <w:tcW w:w="7542" w:type="dxa"/>
            <w:tcBorders/>
          </w:tcPr>
          <w:p>
            <w:pPr>
              <w:pStyle w:val="Normal"/>
              <w:rPr>
                <w:i/>
                <w:i/>
                <w:szCs w:val="20"/>
              </w:rPr>
            </w:pPr>
            <w:r>
              <w:rPr>
                <w:b/>
              </w:rPr>
              <w:t>R00-10-001 –Order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br/>
            </w:r>
            <w:r>
              <w:rPr/>
              <w:t>This decision adopts improvements to the interruptible tariffs and rotating outage programs of Pacific Gas &amp; Electric Company, Southern California Edison Company, and San Diego Gas &amp; Electric Company specified in Attachment A.  Respondent utilities shall file implementing advice letters and tariffs within 5 days.  The existing priority system for rotating outages is superseded in 10 days by the adopted system in Attachment C.  PG&amp;E shall exempt BART and underground portions of MUNI.  Respondent utilities shall file and serve reports in Attachment D.  Serving respondent utility shall install, at transmission customer’s expense, automatic equipment to implement rotating outages if transmission customer does not cooperate with requests to drop load.  The Executive Director shall serve a copy of the decision on other rail transit systems.  Each respondent utility shall file an updated annual rotating outage action plan by May 15, 2001.  Each respondent utility shall establish a memorandum account to track program costs for later recovery.  Each respondent utility is subject to stated program megawatt and dollar limits through December 31, 2002.  This proceeding remains open.  The decision is effective today.</w:t>
              <w:br/>
              <w:t>(Com Wood – ALJ Mattson)</w:t>
              <w:br/>
            </w:r>
            <w:r>
              <w:rPr>
                <w:i/>
              </w:rPr>
              <w:t>(Section 311(g)(1))</w:t>
            </w:r>
          </w:p>
        </w:tc>
      </w:tr>
      <w:tr>
        <w:trPr/>
        <w:tc>
          <w:tcPr>
            <w:tcW w:w="1458" w:type="dxa"/>
            <w:tcBorders/>
          </w:tcPr>
          <w:p>
            <w:pPr>
              <w:pStyle w:val="Normal"/>
              <w:rPr>
                <w:b/>
                <w:szCs w:val="20"/>
              </w:rPr>
            </w:pPr>
            <w:r>
              <w:rPr>
                <w:b/>
              </w:rPr>
              <w:t>7</w:t>
            </w:r>
          </w:p>
        </w:tc>
        <w:tc>
          <w:tcPr>
            <w:tcW w:w="7542" w:type="dxa"/>
            <w:tcBorders/>
          </w:tcPr>
          <w:p>
            <w:pPr>
              <w:pStyle w:val="Normal"/>
              <w:rPr>
                <w:szCs w:val="20"/>
              </w:rPr>
            </w:pPr>
            <w:r>
              <w:rPr>
                <w:b/>
              </w:rPr>
              <w:t>R99-10-025 – Order Instituting Rulemaking Into Distributed Generation.</w:t>
              <w:br/>
            </w:r>
            <w:r>
              <w:rPr/>
              <w:t>This decision adopts interim policy guidelines for the appropriate design of standby rates charged to customers employing onsite generation to cover all or some portion of their load.  In addition, this decision adopts the independent Clean Energy Tariff proposed by the California Solar energy Industry Association.</w:t>
              <w:br/>
              <w:t>(Com Bilas – ALJ Cooke)</w:t>
            </w:r>
          </w:p>
        </w:tc>
      </w:tr>
      <w:tr>
        <w:trPr/>
        <w:tc>
          <w:tcPr>
            <w:tcW w:w="1458" w:type="dxa"/>
            <w:tcBorders/>
          </w:tcPr>
          <w:p>
            <w:pPr>
              <w:pStyle w:val="Normal"/>
              <w:rPr>
                <w:b/>
                <w:szCs w:val="20"/>
              </w:rPr>
            </w:pPr>
            <w:r>
              <w:rPr>
                <w:b/>
              </w:rPr>
              <w:t>E-1</w:t>
            </w:r>
          </w:p>
        </w:tc>
        <w:tc>
          <w:tcPr>
            <w:tcW w:w="7542" w:type="dxa"/>
            <w:tcBorders/>
          </w:tcPr>
          <w:p>
            <w:pPr>
              <w:pStyle w:val="Normal"/>
              <w:rPr>
                <w:szCs w:val="20"/>
              </w:rPr>
            </w:pPr>
            <w:r>
              <w:rPr>
                <w:b/>
              </w:rPr>
              <w:t>Res E-3726 – San Diego Gas &amp; Electric Company (SDG&amp;E)</w:t>
              <w:br/>
            </w:r>
            <w:r>
              <w:rPr/>
              <w:t>This resolution approves with modifications, SDG&amp;E’s Interim Bill Stabilization Plan implementing D00-08-037, and SDG&amp;E’S revisions to the Plan and implementation of the Energy Rate Ceiling Retroactive Credit to comply with Assembly Bill 265 and D00-09-040.  SDG&amp;E’s proposal to apply the Plan to DA customers is denied.</w:t>
              <w:br/>
            </w:r>
            <w:r>
              <w:rPr>
                <w:i/>
              </w:rPr>
              <w:t>(Section 311(g)(1))</w:t>
            </w:r>
          </w:p>
          <w:p>
            <w:pPr>
              <w:pStyle w:val="Normal"/>
              <w:rPr>
                <w:szCs w:val="20"/>
              </w:rPr>
            </w:pPr>
            <w:r>
              <w:rPr/>
              <w:t>(Advice Letters (AL) 1249-E, 1254-E, 1260-E and 1264-E, filed August 28, 2000; September 12, 2000; October 2, 2000, and October 19, 2000, respectively.  Supplemental ALs 1260-E-A, 1264-E-A, filed October 30, 2000 and December 6, 2000, respectively.)</w:t>
              <w:br/>
              <w:t>(Agenda 3058, Item E-1, 2/22/01; Agenda 3059, Item E-1, 3/15/01; Req – Commission)</w:t>
            </w:r>
          </w:p>
        </w:tc>
      </w:tr>
      <w:tr>
        <w:trPr/>
        <w:tc>
          <w:tcPr>
            <w:tcW w:w="1458" w:type="dxa"/>
            <w:tcBorders/>
          </w:tcPr>
          <w:p>
            <w:pPr>
              <w:pStyle w:val="Normal"/>
              <w:rPr>
                <w:b/>
                <w:szCs w:val="20"/>
              </w:rPr>
            </w:pPr>
            <w:r>
              <w:rPr>
                <w:b/>
              </w:rPr>
              <w:t>E-1a</w:t>
            </w:r>
          </w:p>
        </w:tc>
        <w:tc>
          <w:tcPr>
            <w:tcW w:w="7542" w:type="dxa"/>
            <w:tcBorders/>
          </w:tcPr>
          <w:p>
            <w:pPr>
              <w:pStyle w:val="Heading5"/>
              <w:ind w:hanging="0" w:start="0"/>
              <w:rPr/>
            </w:pPr>
            <w:r>
              <w:rPr/>
              <w:t>ALTERNATE RESOLUTION TO ITEM E-1.</w:t>
              <w:br/>
            </w:r>
            <w:r>
              <w:rPr>
                <w:b w:val="false"/>
              </w:rPr>
              <w:t>This alternate resolution approves with modifications SDG&amp;E’s proposal to apply the Plan to DA customers.</w:t>
              <w:br/>
              <w:t>(Com Bilas)</w:t>
              <w:br/>
              <w:t>(Agenda 3058, Item E-1a, 2/22/01; Agenda 3059, Item E-1a, 3/15/01; Req – Commission)</w:t>
            </w:r>
          </w:p>
        </w:tc>
      </w:tr>
      <w:tr>
        <w:trPr/>
        <w:tc>
          <w:tcPr>
            <w:tcW w:w="1458" w:type="dxa"/>
            <w:tcBorders/>
          </w:tcPr>
          <w:p>
            <w:pPr>
              <w:pStyle w:val="Normal"/>
              <w:rPr>
                <w:b/>
                <w:szCs w:val="20"/>
              </w:rPr>
            </w:pPr>
            <w:r>
              <w:rPr>
                <w:b/>
              </w:rPr>
              <w:t>E-2</w:t>
            </w:r>
          </w:p>
        </w:tc>
        <w:tc>
          <w:tcPr>
            <w:tcW w:w="7542" w:type="dxa"/>
            <w:tcBorders/>
          </w:tcPr>
          <w:p>
            <w:pPr>
              <w:pStyle w:val="Normal"/>
              <w:rPr>
                <w:szCs w:val="20"/>
              </w:rPr>
            </w:pPr>
            <w:r>
              <w:rPr>
                <w:b/>
              </w:rPr>
              <w:t xml:space="preserve">Res G-3313 – </w:t>
            </w:r>
            <w:r>
              <w:rPr/>
              <w:t>Resolution G-3304</w:t>
            </w:r>
            <w:r>
              <w:rPr>
                <w:b/>
              </w:rPr>
              <w:t xml:space="preserve"> </w:t>
            </w:r>
            <w:r>
              <w:rPr/>
              <w:t>which was adopted on December 21, 2000, is modified on the Commission’s own motion to allow noncore customers to elect core subscription service, Schedule G-CS, or other applicable core service schedules, under certain specified conditions.</w:t>
              <w:br/>
              <w:t>(Agenda 3059, Item E-1a, 3/15/01; Req – Commission)</w:t>
            </w:r>
          </w:p>
        </w:tc>
      </w:tr>
      <w:tr>
        <w:trPr/>
        <w:tc>
          <w:tcPr>
            <w:tcW w:w="1458" w:type="dxa"/>
            <w:tcBorders/>
          </w:tcPr>
          <w:p>
            <w:pPr>
              <w:pStyle w:val="Normal"/>
              <w:rPr>
                <w:b/>
                <w:szCs w:val="20"/>
              </w:rPr>
            </w:pPr>
            <w:r>
              <w:rPr>
                <w:b/>
              </w:rPr>
              <w:t>M-1</w:t>
            </w:r>
          </w:p>
        </w:tc>
        <w:tc>
          <w:tcPr>
            <w:tcW w:w="7542" w:type="dxa"/>
            <w:tcBorders/>
          </w:tcPr>
          <w:p>
            <w:pPr>
              <w:pStyle w:val="Normal"/>
              <w:rPr>
                <w:szCs w:val="20"/>
              </w:rPr>
            </w:pPr>
            <w:r>
              <w:rPr>
                <w:b/>
              </w:rPr>
              <w:t>Res M-4801 -</w:t>
            </w:r>
            <w:r>
              <w:rPr/>
              <w:t xml:space="preserve"> This resolution confirms staff’s authority to suspend the effectiveness of advice letter filings of tariff changes.  This resolution also ratifies staff’s suspension of advice letters prior to its effective date. </w:t>
            </w:r>
            <w:r>
              <w:rPr>
                <w:b/>
              </w:rPr>
              <w:t xml:space="preserve"> </w:t>
            </w:r>
            <w:r>
              <w:rPr/>
              <w:t>(Section 311(g)(1))</w:t>
              <w:br/>
              <w:t>(Agenda 3057, Item M-1, 2/8/01; Agenda 3058, Item M-1, 2/22/01 Continuation 3/7/01; Agenda 3059, Item M-1, 3/15/01; Req – Commission)</w:t>
              <w:br/>
            </w:r>
          </w:p>
        </w:tc>
      </w:tr>
      <w:tr>
        <w:trPr/>
        <w:tc>
          <w:tcPr>
            <w:tcW w:w="1458" w:type="dxa"/>
            <w:tcBorders/>
          </w:tcPr>
          <w:p>
            <w:pPr>
              <w:pStyle w:val="Normal"/>
              <w:rPr>
                <w:b/>
                <w:szCs w:val="20"/>
              </w:rPr>
            </w:pPr>
            <w:r>
              <w:rPr>
                <w:b/>
              </w:rPr>
              <w:t>HEX-6</w:t>
            </w:r>
          </w:p>
        </w:tc>
        <w:tc>
          <w:tcPr>
            <w:tcW w:w="7542" w:type="dxa"/>
            <w:tcBorders/>
          </w:tcPr>
          <w:p>
            <w:pPr>
              <w:pStyle w:val="Normal"/>
              <w:rPr>
                <w:b/>
                <w:szCs w:val="20"/>
              </w:rPr>
            </w:pPr>
            <w:r>
              <w:rPr>
                <w:b/>
              </w:rPr>
              <w:t>Conference with Legal Counsel – Application for Rehearing</w:t>
              <w:br/>
              <w:t xml:space="preserve">A00-11-038; A00-11-056; A00-10-028 - </w:t>
            </w:r>
            <w:r>
              <w:rPr/>
              <w:t xml:space="preserve">Disposes of the applications for rehearing of D01-01-018 filed by Pacific Gas and Electric Company (PG&amp;E) and Southern California Edison Company (Edison).  D01-01-018 implements an immediate interim surcharge subject to refund, to provide additional revenue for PG&amp;E and Edison on an interim basis.  Edison and PG&amp;E allege that (1) the failure to impose a larger surcharge constitutes an unconstitutional taking; (2) the Commission’ failure to end the rate freeze is in error; (3) the ordered accounting changes violate Public Utilities Code Sections 367, 368, 1708, and due process rights; (4) D01-01-018 violates the filed-rate doctrine, and (5) D01-01-018 is not supported by substantial evidence.  Edison further argues that the Decision erroneously concludes that Edison accepted the risk of underrecovery of procurement costs, and that Edison should be relieved of its obligation to procure power beyond what it is generating.  PG&amp;E also maintains that D01-01-018 violates the Equal Protection Clause and the Commerce Clause of the Constitution. Also disposes of Petition for Clarification of Greenlining Institute and Latino Issues Forum. </w:t>
              <w:br/>
              <w:t>(Gov. Code § 11126 (e)(2)(B)(i).)</w:t>
              <w:br/>
              <w:t>(Agenda 3059, Item EX-5, 3/15/01; Req - Commission)</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20" w:type="dxa"/>
      <w:jc w:val="start"/>
      <w:tblInd w:w="-540" w:type="dxa"/>
      <w:tblLayout w:type="fixed"/>
      <w:tblCellMar>
        <w:top w:w="0" w:type="dxa"/>
        <w:start w:w="0" w:type="dxa"/>
        <w:bottom w:w="0" w:type="dxa"/>
        <w:end w:w="0" w:type="dxa"/>
      </w:tblCellMar>
    </w:tblPr>
    <w:tblGrid>
      <w:gridCol w:w="432"/>
      <w:gridCol w:w="2088"/>
      <w:gridCol w:w="5580"/>
      <w:gridCol w:w="1908"/>
      <w:gridCol w:w="712"/>
    </w:tblGrid>
    <w:tr>
      <w:trPr>
        <w:trHeight w:val="288" w:hRule="exact"/>
      </w:trPr>
      <w:tc>
        <w:tcPr>
          <w:tcW w:w="432" w:type="dxa"/>
          <w:tcBorders/>
        </w:tcPr>
        <w:p>
          <w:pPr>
            <w:pStyle w:val="TableHeading"/>
            <w:rPr/>
          </w:pPr>
          <w:r>
            <w:rPr/>
          </w:r>
        </w:p>
      </w:tc>
      <w:tc>
        <w:tcPr>
          <w:tcW w:w="9576" w:type="dxa"/>
          <w:gridSpan w:val="3"/>
          <w:tcBorders/>
          <w:tcMar>
            <w:start w:w="108" w:type="dxa"/>
            <w:end w:w="108" w:type="dxa"/>
          </w:tcMar>
        </w:tcPr>
        <w:p>
          <w:pPr>
            <w:pStyle w:val="BodyText"/>
            <w:rPr>
              <w:rFonts w:ascii="Garamond" w:hAnsi="Garamond" w:cs="Garamond"/>
              <w:sz w:val="27"/>
            </w:rPr>
          </w:pPr>
          <w:r>
            <w:rPr>
              <w:rFonts w:cs="Garamond" w:ascii="Garamond" w:hAnsi="Garamond"/>
              <w:sz w:val="27"/>
            </w:rPr>
            <w:t>Ellison, Schneider &amp; Harris L.L.P</w:t>
          </w:r>
        </w:p>
      </w:tc>
      <w:tc>
        <w:tcPr>
          <w:tcW w:w="712" w:type="dxa"/>
          <w:tcBorders/>
        </w:tcPr>
        <w:p>
          <w:pPr>
            <w:pStyle w:val="Normal"/>
            <w:snapToGrid w:val="false"/>
            <w:rPr>
              <w:rFonts w:ascii="Garamond" w:hAnsi="Garamond" w:cs="Garamond"/>
              <w:sz w:val="27"/>
            </w:rPr>
          </w:pPr>
          <w:r>
            <w:rPr>
              <w:rFonts w:cs="Garamond" w:ascii="Garamond" w:hAnsi="Garamond"/>
              <w:sz w:val="27"/>
            </w:rPr>
          </w:r>
        </w:p>
      </w:tc>
    </w:tr>
    <w:tr>
      <w:trPr>
        <w:trHeight w:val="1197" w:hRule="atLeast"/>
      </w:trPr>
      <w:tc>
        <w:tcPr>
          <w:tcW w:w="2520" w:type="dxa"/>
          <w:gridSpan w:val="2"/>
          <w:tcBorders/>
        </w:tcPr>
        <w:p>
          <w:pPr>
            <w:pStyle w:val="Header"/>
            <w:spacing w:before="0" w:after="40"/>
            <w:rPr>
              <w:rFonts w:ascii="Garamond" w:hAnsi="Garamond" w:cs="Garamond"/>
              <w:smallCaps/>
              <w:color w:val="808080"/>
              <w:spacing w:val="10"/>
              <w:sz w:val="12"/>
            </w:rPr>
          </w:pPr>
          <w:r>
            <w:rPr>
              <w:rFonts w:cs="Garamond" w:ascii="Garamond" w:hAnsi="Garamond"/>
              <w:smallCaps/>
              <w:color w:val="808080"/>
              <w:spacing w:val="10"/>
              <w:sz w:val="12"/>
            </w:rPr>
            <w:t xml:space="preserve">CHRISTOPHER T. ELLISON </w:t>
          </w:r>
        </w:p>
        <w:p>
          <w:pPr>
            <w:pStyle w:val="Header"/>
            <w:spacing w:before="0" w:after="40"/>
            <w:rPr>
              <w:rFonts w:ascii="Garamond" w:hAnsi="Garamond" w:cs="Garamond"/>
              <w:smallCaps/>
              <w:color w:val="808080"/>
              <w:spacing w:val="10"/>
              <w:sz w:val="12"/>
            </w:rPr>
          </w:pPr>
          <w:r>
            <w:rPr>
              <w:rFonts w:cs="Garamond" w:ascii="Garamond" w:hAnsi="Garamond"/>
              <w:smallCaps/>
              <w:color w:val="808080"/>
              <w:spacing w:val="10"/>
              <w:sz w:val="12"/>
            </w:rPr>
            <w:t>ANNE J. SCHNEIDER</w:t>
          </w:r>
        </w:p>
        <w:p>
          <w:pPr>
            <w:pStyle w:val="Header"/>
            <w:spacing w:before="0" w:after="40"/>
            <w:rPr>
              <w:rFonts w:ascii="Garamond" w:hAnsi="Garamond" w:cs="Garamond"/>
              <w:smallCaps/>
              <w:color w:val="808080"/>
              <w:spacing w:val="10"/>
              <w:sz w:val="12"/>
            </w:rPr>
          </w:pPr>
          <w:r>
            <w:rPr>
              <w:rFonts w:cs="Garamond" w:ascii="Garamond" w:hAnsi="Garamond"/>
              <w:smallCaps/>
              <w:color w:val="808080"/>
              <w:spacing w:val="10"/>
              <w:sz w:val="12"/>
            </w:rPr>
            <w:t>JEFFERY D. HARRIS</w:t>
          </w:r>
        </w:p>
        <w:p>
          <w:pPr>
            <w:pStyle w:val="Header"/>
            <w:spacing w:before="0" w:after="40"/>
            <w:rPr>
              <w:rFonts w:ascii="Garamond" w:hAnsi="Garamond" w:cs="Garamond"/>
              <w:smallCaps/>
              <w:color w:val="808080"/>
              <w:spacing w:val="10"/>
              <w:sz w:val="12"/>
            </w:rPr>
          </w:pPr>
          <w:r>
            <w:rPr>
              <w:rFonts w:cs="Garamond" w:ascii="Garamond" w:hAnsi="Garamond"/>
              <w:smallCaps/>
              <w:color w:val="808080"/>
              <w:spacing w:val="10"/>
              <w:sz w:val="12"/>
            </w:rPr>
            <w:t>DOUGLAS K. KERNER, OF COUNSEL</w:t>
          </w:r>
        </w:p>
        <w:p>
          <w:pPr>
            <w:pStyle w:val="Header"/>
            <w:spacing w:before="0" w:after="40"/>
            <w:rPr>
              <w:rFonts w:ascii="Garamond" w:hAnsi="Garamond" w:cs="Garamond"/>
              <w:color w:val="808080"/>
              <w:sz w:val="16"/>
            </w:rPr>
          </w:pPr>
          <w:r>
            <w:rPr>
              <w:rFonts w:cs="Garamond" w:ascii="Garamond" w:hAnsi="Garamond"/>
              <w:smallCaps/>
              <w:color w:val="808080"/>
              <w:spacing w:val="10"/>
              <w:sz w:val="12"/>
            </w:rPr>
            <w:t>MARGARET G. LEAVITT, OF COUNSEL</w:t>
          </w:r>
        </w:p>
      </w:tc>
      <w:tc>
        <w:tcPr>
          <w:tcW w:w="5580" w:type="dxa"/>
          <w:tcBorders/>
        </w:tcPr>
        <w:p>
          <w:pPr>
            <w:pStyle w:val="Normal"/>
            <w:snapToGrid w:val="false"/>
            <w:spacing w:lineRule="auto" w:line="312"/>
            <w:jc w:val="center"/>
            <w:rPr>
              <w:rFonts w:ascii="Garamond" w:hAnsi="Garamond" w:cs="Garamond"/>
              <w:smallCaps/>
              <w:color w:val="808080"/>
              <w:spacing w:val="28"/>
              <w:sz w:val="10"/>
              <w:szCs w:val="22"/>
            </w:rPr>
          </w:pPr>
          <w:r>
            <w:rPr>
              <w:rFonts w:cs="Garamond" w:ascii="Garamond" w:hAnsi="Garamond"/>
              <w:smallCaps/>
              <w:color w:val="808080"/>
              <w:spacing w:val="28"/>
              <w:sz w:val="10"/>
              <w:szCs w:val="22"/>
            </w:rPr>
          </w:r>
        </w:p>
        <w:p>
          <w:pPr>
            <w:pStyle w:val="Normal"/>
            <w:spacing w:lineRule="auto" w:line="312"/>
            <w:jc w:val="center"/>
            <w:rPr>
              <w:rFonts w:ascii="Garamond" w:hAnsi="Garamond" w:cs="Garamond"/>
              <w:smallCaps/>
              <w:color w:val="808080"/>
              <w:spacing w:val="28"/>
              <w:sz w:val="21"/>
            </w:rPr>
          </w:pPr>
          <w:r>
            <w:rPr>
              <w:rFonts w:cs="Garamond" w:ascii="Garamond" w:hAnsi="Garamond"/>
              <w:smallCaps/>
              <w:color w:val="808080"/>
              <w:spacing w:val="28"/>
              <w:sz w:val="21"/>
              <w:szCs w:val="22"/>
            </w:rPr>
            <w:t>Attorneys at Law</w:t>
          </w:r>
        </w:p>
        <w:p>
          <w:pPr>
            <w:pStyle w:val="Normal"/>
            <w:jc w:val="center"/>
            <w:rPr/>
          </w:pPr>
          <w:r>
            <w:rPr>
              <w:rFonts w:cs="Garamond" w:ascii="Garamond" w:hAnsi="Garamond"/>
              <w:smallCaps/>
              <w:color w:val="808080"/>
              <w:spacing w:val="6"/>
              <w:sz w:val="19"/>
              <w:szCs w:val="20"/>
            </w:rPr>
            <w:t>2015 H</w:t>
          </w:r>
          <w:r>
            <w:fldChar w:fldCharType="begin"/>
          </w:r>
          <w:r>
            <w:rPr>
              <w:smallCaps/>
              <w:sz w:val="19"/>
              <w:spacing w:val="6"/>
              <w:szCs w:val="20"/>
              <w:rFonts w:cs="Garamond" w:ascii="Garamond" w:hAnsi="Garamond"/>
              <w:color w:val="808080"/>
            </w:rPr>
            <w:instrText xml:space="preserve">ADVANCE \r0</w:instrText>
          </w:r>
          <w:r>
            <w:rPr>
              <w:rFonts w:cs="Garamond" w:ascii="Garamond" w:hAnsi="Garamond"/>
              <w:smallCaps/>
              <w:color w:val="808080"/>
              <w:spacing w:val="6"/>
              <w:sz w:val="19"/>
              <w:szCs w:val="20"/>
            </w:rPr>
          </w:r>
          <w:r>
            <w:rPr>
              <w:smallCaps/>
              <w:sz w:val="19"/>
              <w:spacing w:val="6"/>
              <w:szCs w:val="20"/>
              <w:rFonts w:cs="Garamond" w:ascii="Garamond" w:hAnsi="Garamond"/>
              <w:color w:val="808080"/>
            </w:rPr>
            <w:fldChar w:fldCharType="separate"/>
          </w:r>
          <w:r>
            <w:rPr>
              <w:rFonts w:cs="Garamond" w:ascii="Garamond" w:hAnsi="Garamond"/>
              <w:smallCaps/>
              <w:color w:val="808080"/>
              <w:spacing w:val="6"/>
              <w:sz w:val="19"/>
              <w:szCs w:val="20"/>
            </w:rPr>
          </w:r>
          <w:r>
            <w:rPr>
              <w:rFonts w:cs="Garamond" w:ascii="Garamond" w:hAnsi="Garamond"/>
              <w:smallCaps/>
              <w:color w:val="808080"/>
              <w:spacing w:val="6"/>
              <w:sz w:val="19"/>
              <w:szCs w:val="20"/>
            </w:rPr>
          </w:r>
          <w:r>
            <w:rPr>
              <w:smallCaps/>
              <w:sz w:val="19"/>
              <w:spacing w:val="6"/>
              <w:szCs w:val="20"/>
              <w:rFonts w:cs="Garamond" w:ascii="Garamond" w:hAnsi="Garamond"/>
              <w:color w:val="808080"/>
            </w:rPr>
            <w:fldChar w:fldCharType="end"/>
          </w:r>
          <w:r>
            <w:rPr>
              <w:rFonts w:cs="Garamond" w:ascii="Garamond" w:hAnsi="Garamond"/>
              <w:smallCaps/>
              <w:color w:val="808080"/>
              <w:spacing w:val="6"/>
              <w:sz w:val="19"/>
              <w:szCs w:val="20"/>
            </w:rPr>
            <w:t xml:space="preserve"> Street</w:t>
          </w:r>
        </w:p>
        <w:p>
          <w:pPr>
            <w:pStyle w:val="Normal"/>
            <w:jc w:val="center"/>
            <w:rPr>
              <w:rFonts w:ascii="Garamond" w:hAnsi="Garamond" w:cs="Garamond"/>
              <w:smallCaps/>
              <w:color w:val="808080"/>
              <w:spacing w:val="6"/>
              <w:sz w:val="19"/>
              <w:szCs w:val="20"/>
            </w:rPr>
          </w:pPr>
          <w:r>
            <w:rPr>
              <w:rFonts w:cs="Garamond" w:ascii="Garamond" w:hAnsi="Garamond"/>
              <w:smallCaps/>
              <w:color w:val="808080"/>
              <w:spacing w:val="6"/>
              <w:sz w:val="19"/>
              <w:szCs w:val="20"/>
            </w:rPr>
            <w:t>Sacramento, California  95814-3109</w:t>
          </w:r>
        </w:p>
        <w:p>
          <w:pPr>
            <w:pStyle w:val="Header"/>
            <w:jc w:val="center"/>
            <w:rPr>
              <w:rFonts w:ascii="Garamond" w:hAnsi="Garamond" w:cs="Garamond"/>
              <w:color w:val="808080"/>
            </w:rPr>
          </w:pPr>
          <w:r>
            <w:rPr>
              <w:rFonts w:cs="Garamond" w:ascii="Garamond" w:hAnsi="Garamond"/>
              <w:smallCaps/>
              <w:color w:val="808080"/>
              <w:spacing w:val="6"/>
              <w:sz w:val="19"/>
              <w:szCs w:val="20"/>
            </w:rPr>
            <w:t>Telephone (916) 447-2166   Fax (916) 447-3512</w:t>
          </w:r>
        </w:p>
      </w:tc>
      <w:tc>
        <w:tcPr>
          <w:tcW w:w="2620" w:type="dxa"/>
          <w:gridSpan w:val="2"/>
          <w:tcBorders/>
        </w:tcPr>
        <w:p>
          <w:pPr>
            <w:pStyle w:val="Header"/>
            <w:tabs>
              <w:tab w:val="left" w:pos="540" w:leader="none"/>
              <w:tab w:val="center" w:pos="4320" w:leader="none"/>
              <w:tab w:val="right" w:pos="8640" w:leader="none"/>
            </w:tabs>
            <w:spacing w:before="0" w:after="40"/>
            <w:rPr/>
          </w:pPr>
          <w:r>
            <w:rPr>
              <w:rFonts w:cs="Garamond" w:ascii="Garamond" w:hAnsi="Garamond"/>
              <w:smallCaps/>
              <w:color w:val="808080"/>
              <w:spacing w:val="4"/>
              <w:sz w:val="13"/>
            </w:rPr>
            <w:tab/>
          </w:r>
          <w:r>
            <w:rPr>
              <w:rFonts w:cs="Garamond" w:ascii="Garamond" w:hAnsi="Garamond"/>
              <w:smallCaps/>
              <w:color w:val="808080"/>
              <w:spacing w:val="10"/>
              <w:sz w:val="12"/>
            </w:rPr>
            <w:t>LYNN M. HAUG</w:t>
          </w:r>
        </w:p>
        <w:p>
          <w:pPr>
            <w:pStyle w:val="Header"/>
            <w:tabs>
              <w:tab w:val="left" w:pos="540" w:leader="none"/>
              <w:tab w:val="center" w:pos="4320" w:leader="none"/>
              <w:tab w:val="right" w:pos="8640" w:leader="none"/>
            </w:tabs>
            <w:spacing w:before="0" w:after="40"/>
            <w:rPr>
              <w:rFonts w:ascii="Garamond" w:hAnsi="Garamond" w:cs="Garamond"/>
              <w:smallCaps/>
              <w:color w:val="808080"/>
              <w:spacing w:val="10"/>
              <w:sz w:val="12"/>
            </w:rPr>
          </w:pPr>
          <w:r>
            <w:rPr>
              <w:rFonts w:cs="Garamond" w:ascii="Garamond" w:hAnsi="Garamond"/>
              <w:smallCaps/>
              <w:color w:val="808080"/>
              <w:spacing w:val="10"/>
              <w:sz w:val="12"/>
            </w:rPr>
            <w:tab/>
            <w:t>BARBARA A. BRENNER</w:t>
          </w:r>
        </w:p>
        <w:p>
          <w:pPr>
            <w:pStyle w:val="Header"/>
            <w:tabs>
              <w:tab w:val="left" w:pos="540" w:leader="none"/>
              <w:tab w:val="center" w:pos="4320" w:leader="none"/>
              <w:tab w:val="right" w:pos="8640" w:leader="none"/>
            </w:tabs>
            <w:spacing w:before="0" w:after="40"/>
            <w:rPr>
              <w:rFonts w:ascii="Garamond" w:hAnsi="Garamond" w:cs="Garamond"/>
              <w:smallCaps/>
              <w:color w:val="808080"/>
              <w:spacing w:val="10"/>
              <w:sz w:val="12"/>
            </w:rPr>
          </w:pPr>
          <w:r>
            <w:rPr>
              <w:rFonts w:cs="Garamond" w:ascii="Garamond" w:hAnsi="Garamond"/>
              <w:smallCaps/>
              <w:color w:val="808080"/>
              <w:spacing w:val="10"/>
              <w:sz w:val="12"/>
            </w:rPr>
            <w:tab/>
            <w:t>ROBERT E. DONLAN</w:t>
          </w:r>
        </w:p>
        <w:p>
          <w:pPr>
            <w:pStyle w:val="Header"/>
            <w:tabs>
              <w:tab w:val="left" w:pos="540" w:leader="none"/>
              <w:tab w:val="center" w:pos="4320" w:leader="none"/>
              <w:tab w:val="right" w:pos="8640" w:leader="none"/>
            </w:tabs>
            <w:spacing w:before="0" w:after="40"/>
            <w:rPr>
              <w:rFonts w:ascii="Garamond" w:hAnsi="Garamond" w:cs="Garamond"/>
              <w:smallCaps/>
              <w:color w:val="808080"/>
              <w:spacing w:val="10"/>
              <w:sz w:val="12"/>
            </w:rPr>
          </w:pPr>
          <w:r>
            <w:rPr>
              <w:rFonts w:cs="Garamond" w:ascii="Garamond" w:hAnsi="Garamond"/>
              <w:smallCaps/>
              <w:color w:val="808080"/>
              <w:spacing w:val="10"/>
              <w:sz w:val="12"/>
            </w:rPr>
            <w:tab/>
            <w:t>ANDREW B. BROWN</w:t>
          </w:r>
        </w:p>
        <w:p>
          <w:pPr>
            <w:pStyle w:val="Header"/>
            <w:tabs>
              <w:tab w:val="left" w:pos="540" w:leader="none"/>
              <w:tab w:val="center" w:pos="4320" w:leader="none"/>
              <w:tab w:val="right" w:pos="8640" w:leader="none"/>
            </w:tabs>
            <w:spacing w:before="0" w:after="40"/>
            <w:rPr>
              <w:rFonts w:ascii="Garamond" w:hAnsi="Garamond" w:cs="Garamond"/>
              <w:smallCaps/>
              <w:color w:val="808080"/>
              <w:spacing w:val="10"/>
              <w:sz w:val="12"/>
            </w:rPr>
          </w:pPr>
          <w:r>
            <w:rPr>
              <w:rFonts w:cs="Garamond" w:ascii="Garamond" w:hAnsi="Garamond"/>
              <w:smallCaps/>
              <w:color w:val="808080"/>
              <w:spacing w:val="10"/>
              <w:sz w:val="12"/>
            </w:rPr>
            <w:tab/>
            <w:t>CHRISTOPHER M. SANDERS</w:t>
          </w:r>
        </w:p>
        <w:p>
          <w:pPr>
            <w:pStyle w:val="Header"/>
            <w:tabs>
              <w:tab w:val="left" w:pos="540" w:leader="none"/>
              <w:tab w:val="center" w:pos="4320" w:leader="none"/>
              <w:tab w:val="right" w:pos="8640" w:leader="none"/>
            </w:tabs>
            <w:spacing w:before="0" w:after="40"/>
            <w:rPr>
              <w:rFonts w:ascii="Garamond" w:hAnsi="Garamond" w:cs="Garamond"/>
              <w:color w:val="808080"/>
              <w:sz w:val="11"/>
            </w:rPr>
          </w:pPr>
          <w:r>
            <w:rPr>
              <w:rFonts w:cs="Garamond" w:ascii="Garamond" w:hAnsi="Garamond"/>
              <w:smallCaps/>
              <w:color w:val="808080"/>
              <w:spacing w:val="10"/>
              <w:sz w:val="12"/>
            </w:rPr>
            <w:tab/>
            <w:t>GREGORY L. MAXIM</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5">
    <w:name w:val="heading 5"/>
    <w:basedOn w:val="Normal"/>
    <w:next w:val="Normal"/>
    <w:qFormat/>
    <w:pPr>
      <w:keepNext w:val="true"/>
      <w:numPr>
        <w:ilvl w:val="4"/>
        <w:numId w:val="1"/>
      </w:numPr>
      <w:outlineLvl w:val="4"/>
    </w:pPr>
    <w:rPr>
      <w:b/>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center"/>
    </w:pPr>
    <w:rPr>
      <w:smallCaps/>
      <w:color w:val="008080"/>
      <w:spacing w:val="40"/>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2001-03-26T21:28:00Z</dcterms:created>
  <dc:creator>EricJ</dc:creator>
  <dc:description/>
  <dc:language>en-CA</dc:language>
  <cp:lastModifiedBy>Katie Kaplan</cp:lastModifiedBy>
  <dcterms:modified xsi:type="dcterms:W3CDTF">2001-03-26T21:28:00Z</dcterms:modified>
  <cp:revision>2</cp:revision>
  <dc:subject/>
  <dc:title>CONFIDENTIAL AND PRIVILEGED ATTORNEY-CLIENT COMMUNICATION</dc:title>
</cp:coreProperties>
</file>