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center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Value at Risk/Value Created</w:t>
      </w:r>
      <w:r>
        <w:rPr>
          <w:rStyle w:val="FootnoteCharacters"/>
          <w:rStyle w:val="FootnoteReference"/>
          <w:color w:val="000000"/>
          <w:sz w:val="24"/>
          <w:lang w:eastAsia="en-US"/>
        </w:rPr>
        <w:footnoteReference w:id="2"/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tbl>
      <w:tblPr>
        <w:tblW w:w="8639" w:type="dxa"/>
        <w:jc w:val="start"/>
        <w:tblInd w:w="0" w:type="dxa"/>
        <w:tblLayout w:type="fixed"/>
        <w:tblCellMar>
          <w:top w:w="0" w:type="dxa"/>
          <w:start w:w="105" w:type="dxa"/>
          <w:bottom w:w="0" w:type="dxa"/>
          <w:end w:w="105" w:type="dxa"/>
        </w:tblCellMar>
      </w:tblPr>
      <w:tblGrid>
        <w:gridCol w:w="4407"/>
        <w:gridCol w:w="2107"/>
        <w:gridCol w:w="2125"/>
      </w:tblGrid>
      <w:tr>
        <w:trPr>
          <w:tblHeader w:val="true"/>
        </w:trPr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Matter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Value at Risk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Value Created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Sale of Portland General Electric Company to Sierra Pacific Resources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$2.1 Billion—sales price for PGE.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Not available …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Interim valuation of PG&amp;E Hydroelectric resources—early CTC rolloff.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$50 million—potential affect if:  (1) no interim value; or (2) low final value of $2 Billion or less.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$50 million—difference in valuation of $3 billion.  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CSU Fresno interconnection 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$250,000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Final valuation of PG&amp;E Hydroelectric resources through auction.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See above.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$30 - $50 million—gross, unadjusted.  Low probability.  Increased value is in higher liquidity of market, likely higher valuation, and potential transactions with purchasers.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Change to ISO Congestion Management system; ensure that mechanism adopted does not have commercial or business-practice costs.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SoCalGas restructuring:  TW receipt points.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$12 - $15 million/year.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Revenue Adjustment Proceeding—effort is to increase PX credit to include more than wholesale power costs.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 xml:space="preserve">$1.5 million/year—representing affect of multiplying 50 mill/kWh increase of PX credit x EES share of retail market. </w:t>
            </w:r>
          </w:p>
          <w:p>
            <w:pPr>
              <w:pStyle w:val="Normal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Transmission agreements to enable ENA mid-market transactions with Kaiser.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N.A.  Contracts not in place; no current transaction.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 million—value of potential transaction.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Participate in CPUC proceedings to resolve revenue cycle services and direct access service fees.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0—although there is a risk that additional DAS fees will increase the cost of doing business.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color w:val="000000"/>
                <w:sz w:val="24"/>
                <w:lang w:eastAsia="en-US"/>
              </w:rPr>
              <w:t>$1.5 million/year.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Support effort to develop and sell Coyote Springs 2 project—work includes OPUC proceeding, negotiation of interconnection/transmission agreements, etc.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$3.5 million—expected costs invested in project.  Does not include PGE costs of approximately $700,000.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$9.5 million—includes expected return of costs expended in project.  Does not include value to PGE, which includes $3.8 million in rate base.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Work with ENA origination to develop structure for serving PLR load in Nevada and gaining necessary regulatory approvals.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Develop model for distribution rates, terms and conditions that will enable distributed generation.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Defend certificate to do business in Arizona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Participate in Bonneville Power Administration transmission terms and conditions rate case.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Defend ability of public agency customers to use “Slice” product.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N.A.  Matter has value for deals “in pipeline.”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Support ENA efforts to develop additional generation in Western states.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Support ENA efforts to reform/buy-out Las Vegas cogen plant.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$90 million—approximate value of investment in plant.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Build-out of existing facilities at Las Vegas cogen.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Support ENA efforts to reform/buy-out  of existing 25% interest in Montana PURPA project.  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$29 million—approximately value of investment.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$3 million—value created if contract reformed.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Support ENA efforts to reform/buy-out  of remaining interest in Montana PURPA project.  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 value at risk at this time.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$7 million—value created if contract reformed.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Negotiate roll-over of PGE transmission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$10 million</w:t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Valuation of Southern California Edison hydroelectric, Mojave, and other currently held generation.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$25 million—SCE currently has a proposal at twice book ($993 million).  That is lower than what EES has assumed for its pricing curves by $500 million</w:t>
            </w:r>
          </w:p>
          <w:p>
            <w:pPr>
              <w:pStyle w:val="Normal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Assist ENA in developing supply proposal to back up Montana PLR.</w:t>
            </w:r>
          </w:p>
        </w:tc>
        <w:tc>
          <w:tcPr>
            <w:tcW w:w="2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EBS values excluded.  Also excludes value created for 2001. 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aps/>
      <w:sz w:val="24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2000-03-15T20:49:00Z</dcterms:created>
  <dc:creator>pkaufma</dc:creator>
  <dc:description/>
  <dc:language>en-CA</dc:language>
  <cp:lastModifiedBy>pkaufma</cp:lastModifiedBy>
  <cp:lastPrinted>2000-03-15T13:56:00Z</cp:lastPrinted>
  <dcterms:modified xsi:type="dcterms:W3CDTF">2000-03-15T21:05:00Z</dcterms:modified>
  <cp:revision>5</cp:revision>
  <dc:subject/>
  <dc:title>Top Three Priorities </dc:title>
</cp:coreProperties>
</file>