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638810</wp:posOffset>
                </wp:positionH>
                <wp:positionV relativeFrom="paragraph">
                  <wp:posOffset>153035</wp:posOffset>
                </wp:positionV>
                <wp:extent cx="5943600" cy="176593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1765935"/>
                        </a:xfrm>
                        <a:prstGeom prst="rect"/>
                        <a:solidFill>
                          <a:srgbClr val="FFFFFF">
                            <a:alpha val="0"/>
                          </a:srgbClr>
                        </a:solidFill>
                      </wps:spPr>
                      <wps:txbx>
                        <w:txbxContent>
                          <w:p>
                            <w:pPr>
                              <w:pStyle w:val="Normal"/>
                              <w:jc w:val="both"/>
                              <w:rPr>
                                <w:sz w:val="20"/>
                              </w:rPr>
                            </w:pPr>
                            <w:r>
                              <w:rPr>
                                <w:sz w:val="20"/>
                              </w:rPr>
                              <w:drawing>
                                <wp:inline distT="0" distB="0" distL="0" distR="0">
                                  <wp:extent cx="1242695" cy="123444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1242695" cy="1234440"/>
                                          </a:xfrm>
                                          <a:prstGeom prst="rect">
                                            <a:avLst/>
                                          </a:prstGeom>
                                          <a:noFill/>
                                        </pic:spPr>
                                      </pic:pic>
                                    </a:graphicData>
                                  </a:graphic>
                                </wp:inline>
                              </w:drawing>
                            </w:r>
                          </w:p>
                          <w:p>
                            <w:pPr>
                              <w:pStyle w:val="Normal"/>
                              <w:jc w:val="both"/>
                              <w:rPr/>
                            </w:pPr>
                            <w:r>
                              <w:rPr/>
                            </w:r>
                          </w:p>
                          <w:p>
                            <w:pPr>
                              <w:pStyle w:val="Normal"/>
                              <w:ind w:end="-108"/>
                              <w:jc w:val="both"/>
                              <w:rPr/>
                            </w:pPr>
                            <w:r>
                              <w:rPr/>
                            </w:r>
                          </w:p>
                          <w:p>
                            <w:pPr>
                              <w:pStyle w:val="Normal"/>
                              <w:ind w:end="-108"/>
                              <w:jc w:val="both"/>
                              <w:rPr/>
                            </w:pPr>
                            <w:r>
                              <w:rPr/>
                            </w:r>
                          </w:p>
                        </w:txbxContent>
                      </wps:txbx>
                      <wps:bodyPr anchor="t" lIns="0" tIns="0" rIns="0" bIns="0">
                        <a:noAutofit/>
                      </wps:bodyPr>
                    </wps:wsp>
                  </a:graphicData>
                </a:graphic>
              </wp:anchor>
            </w:drawing>
          </mc:Choice>
          <mc:Fallback>
            <w:pict>
              <v:rect fillcolor="#FFFFFF" style="position:absolute;rotation:-0;width:468pt;height:139.05pt;mso-wrap-distance-left:9pt;mso-wrap-distance-right:9pt;mso-wrap-distance-top:0pt;mso-wrap-distance-bottom:0pt;margin-top:12.05pt;mso-position-vertical-relative:text;margin-left:50.3pt;mso-position-horizontal-relative:page">
                <v:fill opacity="0f"/>
                <v:textbox inset="0in,0in,0in,0in">
                  <w:txbxContent>
                    <w:p>
                      <w:pPr>
                        <w:pStyle w:val="Normal"/>
                        <w:jc w:val="both"/>
                        <w:rPr>
                          <w:sz w:val="20"/>
                        </w:rPr>
                      </w:pPr>
                      <w:r>
                        <w:rPr>
                          <w:sz w:val="20"/>
                        </w:rPr>
                        <w:drawing>
                          <wp:inline distT="0" distB="0" distL="0" distR="0">
                            <wp:extent cx="1242695" cy="123444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9" t="-39" r="-39" b="-39"/>
                                    <a:stretch>
                                      <a:fillRect/>
                                    </a:stretch>
                                  </pic:blipFill>
                                  <pic:spPr bwMode="auto">
                                    <a:xfrm>
                                      <a:off x="0" y="0"/>
                                      <a:ext cx="1242695" cy="1234440"/>
                                    </a:xfrm>
                                    <a:prstGeom prst="rect">
                                      <a:avLst/>
                                    </a:prstGeom>
                                    <a:noFill/>
                                  </pic:spPr>
                                </pic:pic>
                              </a:graphicData>
                            </a:graphic>
                          </wp:inline>
                        </w:drawing>
                      </w:r>
                    </w:p>
                    <w:p>
                      <w:pPr>
                        <w:pStyle w:val="Normal"/>
                        <w:jc w:val="both"/>
                        <w:rPr/>
                      </w:pPr>
                      <w:r>
                        <w:rPr/>
                      </w:r>
                    </w:p>
                    <w:p>
                      <w:pPr>
                        <w:pStyle w:val="Normal"/>
                        <w:ind w:end="-108"/>
                        <w:jc w:val="both"/>
                        <w:rPr/>
                      </w:pPr>
                      <w:r>
                        <w:rPr/>
                      </w:r>
                    </w:p>
                    <w:p>
                      <w:pPr>
                        <w:pStyle w:val="Normal"/>
                        <w:ind w:end="-108"/>
                        <w:jc w:val="both"/>
                        <w:rPr/>
                      </w:pPr>
                      <w:r>
                        <w:rPr/>
                      </w:r>
                    </w:p>
                  </w:txbxContent>
                </v:textbox>
                <w10:wrap type="square"/>
              </v:rect>
            </w:pict>
          </mc:Fallback>
        </mc:AlternateContent>
      </w:r>
    </w:p>
    <w:tbl>
      <w:tblPr>
        <w:tblW w:w="11579" w:type="dxa"/>
        <w:jc w:val="start"/>
        <w:tblInd w:w="198" w:type="dxa"/>
        <w:tblLayout w:type="fixed"/>
        <w:tblCellMar>
          <w:top w:w="0" w:type="dxa"/>
          <w:start w:w="108" w:type="dxa"/>
          <w:bottom w:w="0" w:type="dxa"/>
          <w:end w:w="108" w:type="dxa"/>
        </w:tblCellMar>
      </w:tblPr>
      <w:tblGrid>
        <w:gridCol w:w="1008"/>
        <w:gridCol w:w="6310"/>
        <w:gridCol w:w="990"/>
        <w:gridCol w:w="306"/>
        <w:gridCol w:w="2659"/>
        <w:gridCol w:w="306"/>
      </w:tblGrid>
      <w:tr>
        <w:trPr>
          <w:trHeight w:val="300" w:hRule="exact"/>
        </w:trPr>
        <w:tc>
          <w:tcPr>
            <w:tcW w:w="1008" w:type="dxa"/>
            <w:tcBorders/>
          </w:tcPr>
          <w:p>
            <w:pPr>
              <w:pStyle w:val="Normal"/>
              <w:ind w:start="-108" w:end="0"/>
              <w:jc w:val="both"/>
              <w:rPr>
                <w:sz w:val="16"/>
              </w:rPr>
            </w:pPr>
            <w:r>
              <w:rPr>
                <w:sz w:val="16"/>
              </w:rPr>
              <w:t>To:</w:t>
            </w:r>
          </w:p>
        </w:tc>
        <w:tc>
          <w:tcPr>
            <w:tcW w:w="6310" w:type="dxa"/>
            <w:tcBorders/>
          </w:tcPr>
          <w:p>
            <w:pPr>
              <w:pStyle w:val="To"/>
              <w:jc w:val="both"/>
              <w:rPr/>
            </w:pPr>
            <w:r>
              <w:rPr/>
              <w:t>CARY CARRABINE</w:t>
            </w:r>
          </w:p>
        </w:tc>
        <w:tc>
          <w:tcPr>
            <w:tcW w:w="990" w:type="dxa"/>
            <w:tcBorders/>
          </w:tcPr>
          <w:p>
            <w:pPr>
              <w:pStyle w:val="Normal"/>
              <w:snapToGrid w:val="false"/>
              <w:ind w:start="-180" w:end="0"/>
              <w:jc w:val="both"/>
              <w:rPr/>
            </w:pPr>
            <w:r>
              <w:rPr/>
            </w:r>
          </w:p>
          <w:p>
            <w:pPr>
              <w:pStyle w:val="Normal"/>
              <w:ind w:start="-180" w:end="0"/>
              <w:jc w:val="both"/>
              <w:rPr/>
            </w:pPr>
            <w:r>
              <w:rPr/>
            </w:r>
          </w:p>
        </w:tc>
        <w:tc>
          <w:tcPr>
            <w:tcW w:w="2965" w:type="dxa"/>
            <w:gridSpan w:val="2"/>
            <w:tcBorders/>
          </w:tcPr>
          <w:p>
            <w:pPr>
              <w:pStyle w:val="Normal"/>
              <w:snapToGrid w:val="false"/>
              <w:jc w:val="both"/>
              <w:rPr/>
            </w:pPr>
            <w:r>
              <w:rPr/>
            </w:r>
          </w:p>
        </w:tc>
        <w:tc>
          <w:tcPr>
            <w:tcW w:w="306" w:type="dxa"/>
            <w:tcBorders/>
            <w:tcMar>
              <w:start w:w="0" w:type="dxa"/>
              <w:end w:w="0" w:type="dxa"/>
            </w:tcMar>
          </w:tcPr>
          <w:p>
            <w:pPr>
              <w:pStyle w:val="Normal"/>
              <w:snapToGrid w:val="false"/>
              <w:rPr/>
            </w:pPr>
            <w:r>
              <w:rPr/>
            </w:r>
          </w:p>
        </w:tc>
      </w:tr>
      <w:tr>
        <w:trPr>
          <w:trHeight w:val="216" w:hRule="exact"/>
        </w:trPr>
        <w:tc>
          <w:tcPr>
            <w:tcW w:w="1008" w:type="dxa"/>
            <w:tcBorders/>
          </w:tcPr>
          <w:p>
            <w:pPr>
              <w:pStyle w:val="Normal"/>
              <w:snapToGrid w:val="false"/>
              <w:ind w:start="-180" w:end="0"/>
              <w:jc w:val="both"/>
              <w:rPr>
                <w:sz w:val="18"/>
              </w:rPr>
            </w:pPr>
            <w:r>
              <w:rPr>
                <w:sz w:val="18"/>
              </w:rPr>
            </w:r>
          </w:p>
        </w:tc>
        <w:tc>
          <w:tcPr>
            <w:tcW w:w="6310" w:type="dxa"/>
            <w:tcBorders/>
          </w:tcPr>
          <w:p>
            <w:pPr>
              <w:pStyle w:val="Normal"/>
              <w:snapToGrid w:val="false"/>
              <w:ind w:end="-108"/>
              <w:jc w:val="both"/>
              <w:rPr>
                <w:sz w:val="18"/>
              </w:rPr>
            </w:pPr>
            <w:r>
              <w:rPr>
                <w:sz w:val="18"/>
              </w:rPr>
            </w:r>
          </w:p>
        </w:tc>
        <w:tc>
          <w:tcPr>
            <w:tcW w:w="990" w:type="dxa"/>
            <w:tcBorders/>
          </w:tcPr>
          <w:p>
            <w:pPr>
              <w:pStyle w:val="Normal"/>
              <w:snapToGrid w:val="false"/>
              <w:ind w:start="-180" w:end="0"/>
              <w:jc w:val="both"/>
              <w:rPr>
                <w:sz w:val="18"/>
              </w:rPr>
            </w:pPr>
            <w:r>
              <w:rPr>
                <w:sz w:val="18"/>
              </w:rPr>
            </w:r>
          </w:p>
        </w:tc>
        <w:tc>
          <w:tcPr>
            <w:tcW w:w="2965" w:type="dxa"/>
            <w:gridSpan w:val="2"/>
            <w:tcBorders/>
          </w:tcPr>
          <w:p>
            <w:pPr>
              <w:pStyle w:val="Normal"/>
              <w:snapToGrid w:val="false"/>
              <w:jc w:val="both"/>
              <w:rPr>
                <w:sz w:val="18"/>
              </w:rPr>
            </w:pPr>
            <w:r>
              <w:rPr>
                <w:sz w:val="18"/>
              </w:rPr>
            </w:r>
          </w:p>
        </w:tc>
        <w:tc>
          <w:tcPr>
            <w:tcW w:w="306" w:type="dxa"/>
            <w:tcBorders/>
            <w:tcMar>
              <w:start w:w="0" w:type="dxa"/>
              <w:end w:w="0" w:type="dxa"/>
            </w:tcMar>
          </w:tcPr>
          <w:p>
            <w:pPr>
              <w:pStyle w:val="Normal"/>
              <w:snapToGrid w:val="false"/>
              <w:rPr>
                <w:sz w:val="18"/>
              </w:rPr>
            </w:pPr>
            <w:r>
              <w:rPr>
                <w:sz w:val="18"/>
              </w:rPr>
            </w:r>
          </w:p>
        </w:tc>
      </w:tr>
      <w:tr>
        <w:trPr>
          <w:trHeight w:val="300" w:hRule="exact"/>
        </w:trPr>
        <w:tc>
          <w:tcPr>
            <w:tcW w:w="1008" w:type="dxa"/>
            <w:tcBorders/>
          </w:tcPr>
          <w:p>
            <w:pPr>
              <w:pStyle w:val="Normal"/>
              <w:ind w:start="-108" w:end="0"/>
              <w:jc w:val="both"/>
              <w:rPr>
                <w:sz w:val="16"/>
              </w:rPr>
            </w:pPr>
            <w:r>
              <w:rPr>
                <w:sz w:val="16"/>
              </w:rPr>
              <w:t>From:</w:t>
            </w:r>
          </w:p>
        </w:tc>
        <w:tc>
          <w:tcPr>
            <w:tcW w:w="6310" w:type="dxa"/>
            <w:tcBorders/>
          </w:tcPr>
          <w:p>
            <w:pPr>
              <w:pStyle w:val="From"/>
              <w:jc w:val="both"/>
              <w:rPr/>
            </w:pPr>
            <w:r>
              <w:rPr/>
              <w:t>Stacy Dickson</w:t>
            </w:r>
          </w:p>
        </w:tc>
        <w:tc>
          <w:tcPr>
            <w:tcW w:w="1296" w:type="dxa"/>
            <w:gridSpan w:val="2"/>
            <w:tcBorders/>
          </w:tcPr>
          <w:p>
            <w:pPr>
              <w:pStyle w:val="Normal"/>
              <w:ind w:start="-180" w:end="0"/>
              <w:jc w:val="both"/>
              <w:rPr>
                <w:sz w:val="16"/>
              </w:rPr>
            </w:pPr>
            <w:r>
              <w:rPr>
                <w:rFonts w:eastAsia="Arial"/>
                <w:sz w:val="16"/>
              </w:rPr>
              <w:t xml:space="preserve">  </w:t>
            </w:r>
            <w:r>
              <w:rPr>
                <w:sz w:val="16"/>
              </w:rPr>
              <w:t>Department:</w:t>
            </w:r>
          </w:p>
        </w:tc>
        <w:tc>
          <w:tcPr>
            <w:tcW w:w="2965" w:type="dxa"/>
            <w:gridSpan w:val="2"/>
            <w:tcBorders/>
          </w:tcPr>
          <w:p>
            <w:pPr>
              <w:pStyle w:val="Department"/>
              <w:jc w:val="both"/>
              <w:rPr/>
            </w:pPr>
            <w:bookmarkStart w:id="0" w:name="From"/>
            <w:bookmarkEnd w:id="0"/>
            <w:r>
              <w:rPr/>
              <w:t>ENA- Legal</w:t>
            </w:r>
          </w:p>
        </w:tc>
      </w:tr>
      <w:tr>
        <w:trPr>
          <w:trHeight w:val="216" w:hRule="exact"/>
        </w:trPr>
        <w:tc>
          <w:tcPr>
            <w:tcW w:w="1008" w:type="dxa"/>
            <w:tcBorders/>
          </w:tcPr>
          <w:p>
            <w:pPr>
              <w:pStyle w:val="Normal"/>
              <w:snapToGrid w:val="false"/>
              <w:ind w:start="-180" w:end="0"/>
              <w:jc w:val="both"/>
              <w:rPr>
                <w:sz w:val="18"/>
              </w:rPr>
            </w:pPr>
            <w:r>
              <w:rPr>
                <w:sz w:val="18"/>
              </w:rPr>
            </w:r>
          </w:p>
        </w:tc>
        <w:tc>
          <w:tcPr>
            <w:tcW w:w="6310" w:type="dxa"/>
            <w:tcBorders/>
          </w:tcPr>
          <w:p>
            <w:pPr>
              <w:pStyle w:val="Normal"/>
              <w:snapToGrid w:val="false"/>
              <w:jc w:val="both"/>
              <w:rPr>
                <w:sz w:val="18"/>
              </w:rPr>
            </w:pPr>
            <w:r>
              <w:rPr>
                <w:sz w:val="18"/>
              </w:rPr>
            </w:r>
          </w:p>
        </w:tc>
        <w:tc>
          <w:tcPr>
            <w:tcW w:w="1296" w:type="dxa"/>
            <w:gridSpan w:val="2"/>
            <w:tcBorders/>
          </w:tcPr>
          <w:p>
            <w:pPr>
              <w:pStyle w:val="Normal"/>
              <w:snapToGrid w:val="false"/>
              <w:ind w:start="-180" w:end="0"/>
              <w:jc w:val="both"/>
              <w:rPr>
                <w:sz w:val="18"/>
              </w:rPr>
            </w:pPr>
            <w:r>
              <w:rPr>
                <w:sz w:val="18"/>
              </w:rPr>
            </w:r>
          </w:p>
        </w:tc>
        <w:tc>
          <w:tcPr>
            <w:tcW w:w="2965" w:type="dxa"/>
            <w:gridSpan w:val="2"/>
            <w:tcBorders/>
          </w:tcPr>
          <w:p>
            <w:pPr>
              <w:pStyle w:val="Normal"/>
              <w:snapToGrid w:val="false"/>
              <w:jc w:val="both"/>
              <w:rPr>
                <w:sz w:val="18"/>
              </w:rPr>
            </w:pPr>
            <w:r>
              <w:rPr>
                <w:sz w:val="18"/>
              </w:rPr>
            </w:r>
          </w:p>
        </w:tc>
      </w:tr>
      <w:tr>
        <w:trPr>
          <w:trHeight w:val="700" w:hRule="exact"/>
        </w:trPr>
        <w:tc>
          <w:tcPr>
            <w:tcW w:w="1008" w:type="dxa"/>
            <w:tcBorders>
              <w:bottom w:val="single" w:sz="12" w:space="0" w:color="000000"/>
            </w:tcBorders>
          </w:tcPr>
          <w:p>
            <w:pPr>
              <w:pStyle w:val="Normal"/>
              <w:ind w:start="-108" w:end="0"/>
              <w:jc w:val="both"/>
              <w:rPr>
                <w:sz w:val="16"/>
              </w:rPr>
            </w:pPr>
            <w:r>
              <w:rPr>
                <w:sz w:val="16"/>
              </w:rPr>
              <w:t>Subject:</w:t>
            </w:r>
          </w:p>
        </w:tc>
        <w:tc>
          <w:tcPr>
            <w:tcW w:w="6310" w:type="dxa"/>
            <w:tcBorders>
              <w:bottom w:val="single" w:sz="12" w:space="0" w:color="000000"/>
            </w:tcBorders>
          </w:tcPr>
          <w:p>
            <w:pPr>
              <w:pStyle w:val="Subject"/>
              <w:jc w:val="both"/>
              <w:rPr>
                <w:b/>
              </w:rPr>
            </w:pPr>
            <w:bookmarkStart w:id="1" w:name="tSubject"/>
            <w:bookmarkEnd w:id="1"/>
            <w:r>
              <w:rPr>
                <w:b/>
              </w:rPr>
              <w:t>HESS ENERGY SERVICES, LLC (“HESS”)</w:t>
            </w:r>
          </w:p>
        </w:tc>
        <w:tc>
          <w:tcPr>
            <w:tcW w:w="1296" w:type="dxa"/>
            <w:gridSpan w:val="2"/>
            <w:tcBorders>
              <w:bottom w:val="single" w:sz="12" w:space="0" w:color="000000"/>
            </w:tcBorders>
          </w:tcPr>
          <w:p>
            <w:pPr>
              <w:pStyle w:val="Normal"/>
              <w:ind w:start="-180" w:end="0"/>
              <w:jc w:val="both"/>
              <w:rPr>
                <w:sz w:val="16"/>
              </w:rPr>
            </w:pPr>
            <w:r>
              <w:rPr>
                <w:sz w:val="16"/>
              </w:rPr>
              <w:t>:Date:</w:t>
            </w:r>
          </w:p>
        </w:tc>
        <w:tc>
          <w:tcPr>
            <w:tcW w:w="2965" w:type="dxa"/>
            <w:gridSpan w:val="2"/>
            <w:tcBorders>
              <w:bottom w:val="single" w:sz="12" w:space="0" w:color="000000"/>
            </w:tcBorders>
          </w:tcPr>
          <w:p>
            <w:pPr>
              <w:pStyle w:val="Date"/>
              <w:jc w:val="both"/>
              <w:rPr/>
            </w:pPr>
            <w:r>
              <w:rPr/>
              <w:t>March 14, 2001</w:t>
            </w:r>
          </w:p>
        </w:tc>
      </w:tr>
    </w:tbl>
    <w:p>
      <w:pPr>
        <w:pStyle w:val="CopyList"/>
        <w:tabs>
          <w:tab w:val="clear" w:pos="504"/>
        </w:tabs>
        <w:spacing w:before="0" w:after="0"/>
        <w:ind w:hanging="0" w:start="72" w:end="0"/>
        <w:jc w:val="both"/>
        <w:rPr/>
      </w:pPr>
      <w:r>
        <w:rPr/>
      </w:r>
      <w:bookmarkStart w:id="2" w:name="StartOfMemo"/>
      <w:bookmarkStart w:id="3" w:name="StartOfMemo"/>
      <w:bookmarkEnd w:id="3"/>
    </w:p>
    <w:p>
      <w:pPr>
        <w:pStyle w:val="CopyList"/>
        <w:tabs>
          <w:tab w:val="clear" w:pos="504"/>
        </w:tabs>
        <w:spacing w:before="0" w:after="0"/>
        <w:ind w:hanging="0" w:start="72" w:end="0"/>
        <w:jc w:val="both"/>
        <w:rPr/>
      </w:pPr>
      <w:r>
        <w:rPr/>
      </w:r>
    </w:p>
    <w:p>
      <w:pPr>
        <w:pStyle w:val="BodyText"/>
        <w:rPr/>
      </w:pPr>
      <w:r>
        <w:rPr/>
        <w:t>I have reviewed the credit language that Hess would like included in a Master Firm Purchase/Sale Agreement between Hess and enovate, L.L.C. (“enovate”).  With a few exceptions, the concepts suggested by Hess are already included in Section 4.1 Early Termination and Section 4.2 Triggering Event.  The exceptions are as follows:</w:t>
      </w:r>
    </w:p>
    <w:p>
      <w:pPr>
        <w:pStyle w:val="BodyText"/>
        <w:numPr>
          <w:ilvl w:val="0"/>
          <w:numId w:val="2"/>
        </w:numPr>
        <w:rPr/>
      </w:pPr>
      <w:r>
        <w:rPr/>
        <w:t>Hess’ language includes the ability of one party to demand and receive adequate assurance of performance by the other party posting collateral.  I suggest adding the following provision as a new Section 4.5:</w:t>
      </w:r>
    </w:p>
    <w:p>
      <w:pPr>
        <w:pStyle w:val="BodyText"/>
        <w:ind w:hanging="0" w:start="1440" w:end="720"/>
        <w:rPr/>
      </w:pPr>
      <w:r>
        <w:rPr/>
        <w:t>“</w:t>
      </w:r>
      <w:r>
        <w:rPr/>
        <w:t xml:space="preserve">4.5  </w:t>
      </w:r>
      <w:r>
        <w:rPr>
          <w:u w:val="single"/>
        </w:rPr>
        <w:t>Adequate Assurances</w:t>
      </w:r>
      <w:r>
        <w:rPr/>
        <w:t>.  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w:t>
      </w:r>
    </w:p>
    <w:p>
      <w:pPr>
        <w:pStyle w:val="BodyText"/>
        <w:numPr>
          <w:ilvl w:val="0"/>
          <w:numId w:val="2"/>
        </w:numPr>
        <w:rPr/>
      </w:pPr>
      <w:r>
        <w:rPr/>
        <w:t>Hess’ language includes a provision explicitly allowing Seller to suspend deliveries to Buyer upon a payment default.  I suggest adding the following sentence at the end of Section 4.1 Early Termination which reads as follows:</w:t>
      </w:r>
    </w:p>
    <w:p>
      <w:pPr>
        <w:pStyle w:val="BodyText"/>
        <w:ind w:hanging="0" w:start="1440" w:end="720"/>
        <w:rPr/>
      </w:pPr>
      <w:r>
        <w:rPr/>
        <w:t>“</w:t>
      </w:r>
      <w:r>
        <w:rPr/>
        <w:t>Seller may immediately suspend deliveries to Buyer hereunder in the event Buyer has not paid any amount due Seller hereunder on or before the second day following the date such payment is due.”</w:t>
      </w:r>
    </w:p>
    <w:p>
      <w:pPr>
        <w:pStyle w:val="BodyText"/>
        <w:numPr>
          <w:ilvl w:val="0"/>
          <w:numId w:val="2"/>
        </w:numPr>
        <w:rPr/>
      </w:pPr>
      <w:r>
        <w:rPr/>
        <w:t>Hess’ language uses a cover standard meaning the actual price of a replacement sale (or replacement purchase) to calculate the contract value.  As you know, enovate uses bonafide third party quotes.  My suggestion is to use the enovate method.</w:t>
      </w:r>
    </w:p>
    <w:p>
      <w:pPr>
        <w:pStyle w:val="BodyText"/>
        <w:ind w:start="360" w:end="0"/>
        <w:rPr/>
      </w:pPr>
      <w:r>
        <w:rPr/>
        <w:t>Should you have any questions, feel free to contact me at (713) 853-5705.</w:t>
      </w:r>
    </w:p>
    <w:p>
      <w:pPr>
        <w:pStyle w:val="CopyList"/>
        <w:tabs>
          <w:tab w:val="clear" w:pos="504"/>
        </w:tabs>
        <w:spacing w:before="0" w:after="0"/>
        <w:ind w:hanging="0" w:start="72" w:end="0"/>
        <w:jc w:val="both"/>
        <w:rPr/>
      </w:pPr>
      <w:r>
        <w:rPr/>
      </w:r>
    </w:p>
    <w:sectPr>
      <w:headerReference w:type="default" r:id="rId4"/>
      <w:headerReference w:type="first" r:id="rId5"/>
      <w:footerReference w:type="default" r:id="rId6"/>
      <w:footerReference w:type="first" r:id="rId7"/>
      <w:type w:val="nextPage"/>
      <w:pgSz w:w="12240" w:h="15840"/>
      <w:pgMar w:left="1440" w:right="1440" w:gutter="0" w:header="720" w:top="1440"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o:\common\legal\sdickson\memos\hess energy services, llc.doc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o:\legal\sdickson\memos\hess energy services, llc.doc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Jeff Hodge</w:t>
    </w:r>
  </w:p>
  <w:p>
    <w:pPr>
      <w:pStyle w:val="Header"/>
      <w:rPr>
        <w:sz w:val="20"/>
      </w:rPr>
    </w:pPr>
    <w:r>
      <w:rPr>
        <w:sz w:val="20"/>
      </w:rPr>
      <w:t>August 12, 1999</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Header"/>
      <w:rPr>
        <w:rStyle w:val="PageNumber"/>
        <w:sz w:val="20"/>
      </w:rPr>
    </w:pPr>
    <w:r>
      <w:rPr/>
    </w:r>
  </w:p>
  <w:p>
    <w:pPr>
      <w:pStyle w:val="Header"/>
      <w:rPr>
        <w:rStyle w:val="PageNumber"/>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658495"/>
              <wp:effectExtent l="0" t="0" r="0" b="0"/>
              <wp:wrapSquare wrapText="bothSides"/>
              <wp:docPr id="4"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b/>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spacing w:lineRule="atLeast" w:line="240" w:before="0" w:after="240"/>
      <w:ind w:firstLine="360" w:start="0" w:end="0"/>
      <w:jc w:val="both"/>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2001-03-14T19:31:00Z</dcterms:created>
  <dc:creator>ECT</dc:creator>
  <dc:description/>
  <dc:language>en-CA</dc:language>
  <cp:lastModifiedBy>Theresa Zucha</cp:lastModifiedBy>
  <cp:lastPrinted>2001-03-14T15:59:00Z</cp:lastPrinted>
  <dcterms:modified xsi:type="dcterms:W3CDTF">2001-03-14T19:31:00Z</dcterms:modified>
  <cp:revision>2</cp:revision>
  <dc:subject>The Subject of the Memo</dc:subject>
  <dc:title> 	</dc:title>
</cp:coreProperties>
</file>